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2F219E" w14:textId="77777777" w:rsidR="00A54D09" w:rsidRPr="001675EF" w:rsidRDefault="00401D2E" w:rsidP="00A54D09">
      <w:pPr>
        <w:shd w:val="clear" w:color="auto" w:fill="FFFFFF"/>
        <w:spacing w:after="0" w:line="240" w:lineRule="auto"/>
        <w:contextualSpacing/>
        <w:jc w:val="center"/>
        <w:rPr>
          <w:rFonts w:ascii="Aptos" w:eastAsia="Times New Roman" w:hAnsi="Aptos" w:cstheme="minorHAnsi"/>
          <w:b/>
          <w:bCs/>
          <w:color w:val="464646"/>
          <w:u w:val="single"/>
        </w:rPr>
      </w:pPr>
      <w:r w:rsidRPr="001675EF">
        <w:rPr>
          <w:rFonts w:ascii="Aptos" w:hAnsi="Aptos" w:cstheme="minorHAnsi"/>
          <w:b/>
          <w:bCs/>
          <w:noProof/>
        </w:rPr>
        <w:drawing>
          <wp:inline distT="0" distB="0" distL="0" distR="0" wp14:anchorId="00852C43" wp14:editId="2B7E554B">
            <wp:extent cx="5135880" cy="670635"/>
            <wp:effectExtent l="0" t="0" r="7620" b="0"/>
            <wp:docPr id="7" name="Picture 7"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49674" cy="672436"/>
                    </a:xfrm>
                    <a:prstGeom prst="rect">
                      <a:avLst/>
                    </a:prstGeom>
                  </pic:spPr>
                </pic:pic>
              </a:graphicData>
            </a:graphic>
          </wp:inline>
        </w:drawing>
      </w:r>
    </w:p>
    <w:p w14:paraId="79296F8E" w14:textId="77777777" w:rsidR="00A54D09" w:rsidRPr="001675EF" w:rsidRDefault="00A54D09" w:rsidP="00A54D09">
      <w:pPr>
        <w:shd w:val="clear" w:color="auto" w:fill="FFFFFF"/>
        <w:spacing w:after="0" w:line="240" w:lineRule="auto"/>
        <w:contextualSpacing/>
        <w:jc w:val="center"/>
        <w:rPr>
          <w:rFonts w:ascii="Aptos" w:eastAsia="Times New Roman" w:hAnsi="Aptos" w:cstheme="minorHAnsi"/>
          <w:b/>
          <w:bCs/>
          <w:color w:val="464646"/>
          <w:u w:val="single"/>
        </w:rPr>
      </w:pPr>
    </w:p>
    <w:p w14:paraId="45A98D87" w14:textId="3E0C6AD7" w:rsidR="00A54D09" w:rsidRPr="001675EF" w:rsidRDefault="00401D2E" w:rsidP="00A54D09">
      <w:pPr>
        <w:pStyle w:val="IssueBriefTitle"/>
        <w:spacing w:line="240" w:lineRule="auto"/>
        <w:contextualSpacing/>
        <w:jc w:val="center"/>
        <w:rPr>
          <w:rFonts w:ascii="Aptos" w:hAnsi="Aptos" w:cstheme="minorHAnsi"/>
          <w:szCs w:val="32"/>
        </w:rPr>
      </w:pPr>
      <w:r w:rsidRPr="001675EF">
        <w:rPr>
          <w:rFonts w:ascii="Aptos" w:hAnsi="Aptos" w:cstheme="minorHAnsi"/>
          <w:szCs w:val="32"/>
        </w:rPr>
        <w:t xml:space="preserve">Support for </w:t>
      </w:r>
      <w:r w:rsidR="0065258F" w:rsidRPr="001675EF">
        <w:rPr>
          <w:rFonts w:ascii="Aptos" w:hAnsi="Aptos" w:cstheme="minorHAnsi"/>
          <w:szCs w:val="32"/>
        </w:rPr>
        <w:t>Vehicle Choice</w:t>
      </w:r>
      <w:r w:rsidR="001E5BBA" w:rsidRPr="001675EF">
        <w:rPr>
          <w:rFonts w:ascii="Aptos" w:hAnsi="Aptos" w:cstheme="minorHAnsi"/>
          <w:szCs w:val="32"/>
        </w:rPr>
        <w:t xml:space="preserve">, </w:t>
      </w:r>
      <w:r w:rsidR="004313C7" w:rsidRPr="001675EF">
        <w:rPr>
          <w:rFonts w:ascii="Aptos" w:hAnsi="Aptos" w:cstheme="minorHAnsi"/>
          <w:szCs w:val="32"/>
        </w:rPr>
        <w:t xml:space="preserve">Ending EV Subsidies, </w:t>
      </w:r>
      <w:r w:rsidR="004425EF" w:rsidRPr="001675EF">
        <w:rPr>
          <w:rFonts w:ascii="Aptos" w:hAnsi="Aptos" w:cstheme="minorHAnsi"/>
          <w:szCs w:val="32"/>
        </w:rPr>
        <w:t xml:space="preserve">and </w:t>
      </w:r>
      <w:r w:rsidR="004313C7" w:rsidRPr="001675EF">
        <w:rPr>
          <w:rFonts w:ascii="Aptos" w:hAnsi="Aptos" w:cstheme="minorHAnsi"/>
          <w:szCs w:val="32"/>
        </w:rPr>
        <w:t xml:space="preserve">the </w:t>
      </w:r>
      <w:r w:rsidR="004425EF" w:rsidRPr="001675EF">
        <w:rPr>
          <w:rFonts w:ascii="Aptos" w:hAnsi="Aptos" w:cstheme="minorHAnsi"/>
          <w:szCs w:val="32"/>
        </w:rPr>
        <w:t>H</w:t>
      </w:r>
      <w:r w:rsidR="004313C7" w:rsidRPr="001675EF">
        <w:rPr>
          <w:rFonts w:ascii="Aptos" w:hAnsi="Aptos" w:cstheme="minorHAnsi"/>
          <w:szCs w:val="32"/>
        </w:rPr>
        <w:t>igher Blend Infrastructure Incentive Program (</w:t>
      </w:r>
      <w:r w:rsidR="0023522A" w:rsidRPr="001675EF">
        <w:rPr>
          <w:rFonts w:ascii="Aptos" w:hAnsi="Aptos" w:cstheme="minorHAnsi"/>
          <w:szCs w:val="32"/>
        </w:rPr>
        <w:t>HBIIP</w:t>
      </w:r>
      <w:r w:rsidR="004313C7" w:rsidRPr="001675EF">
        <w:rPr>
          <w:rFonts w:ascii="Aptos" w:hAnsi="Aptos" w:cstheme="minorHAnsi"/>
          <w:szCs w:val="32"/>
        </w:rPr>
        <w:t>)</w:t>
      </w:r>
    </w:p>
    <w:p w14:paraId="14A74019" w14:textId="77777777" w:rsidR="00111B2A" w:rsidRPr="001675EF" w:rsidRDefault="00111B2A" w:rsidP="002E64B3">
      <w:pPr>
        <w:shd w:val="clear" w:color="auto" w:fill="FFFFFF"/>
        <w:spacing w:after="225" w:line="240" w:lineRule="auto"/>
        <w:contextualSpacing/>
        <w:rPr>
          <w:rFonts w:ascii="Aptos" w:eastAsia="Times New Roman" w:hAnsi="Aptos" w:cstheme="minorHAnsi"/>
          <w:b/>
          <w:bCs/>
          <w:color w:val="0070C0"/>
        </w:rPr>
      </w:pPr>
    </w:p>
    <w:p w14:paraId="6F52C091" w14:textId="77777777" w:rsidR="002E64B3" w:rsidRPr="001675EF" w:rsidRDefault="00401D2E" w:rsidP="002E64B3">
      <w:pPr>
        <w:shd w:val="clear" w:color="auto" w:fill="FFFFFF"/>
        <w:spacing w:after="225" w:line="240" w:lineRule="auto"/>
        <w:contextualSpacing/>
        <w:rPr>
          <w:rFonts w:ascii="Aptos" w:eastAsia="Times New Roman" w:hAnsi="Aptos" w:cstheme="minorHAnsi"/>
          <w:color w:val="464646"/>
        </w:rPr>
      </w:pPr>
      <w:r w:rsidRPr="001675EF">
        <w:rPr>
          <w:rFonts w:ascii="Aptos" w:eastAsia="Times New Roman" w:hAnsi="Aptos" w:cstheme="minorHAnsi"/>
          <w:color w:val="464646"/>
        </w:rPr>
        <w:t xml:space="preserve">EMA and its members </w:t>
      </w:r>
      <w:r w:rsidR="001A7D82" w:rsidRPr="001675EF">
        <w:rPr>
          <w:rFonts w:ascii="Aptos" w:eastAsia="Times New Roman" w:hAnsi="Aptos" w:cstheme="minorHAnsi"/>
          <w:color w:val="464646"/>
        </w:rPr>
        <w:t xml:space="preserve">strongly </w:t>
      </w:r>
      <w:r w:rsidRPr="001675EF">
        <w:rPr>
          <w:rFonts w:ascii="Aptos" w:eastAsia="Times New Roman" w:hAnsi="Aptos" w:cstheme="minorHAnsi"/>
          <w:color w:val="464646"/>
        </w:rPr>
        <w:t xml:space="preserve">support policies that promote energy security, economic growth, and affordability. Automotive standards and biofuels </w:t>
      </w:r>
      <w:r w:rsidR="001A7D82" w:rsidRPr="001675EF">
        <w:rPr>
          <w:rFonts w:ascii="Aptos" w:eastAsia="Times New Roman" w:hAnsi="Aptos" w:cstheme="minorHAnsi"/>
          <w:color w:val="464646"/>
        </w:rPr>
        <w:t xml:space="preserve">are critical to maintaining </w:t>
      </w:r>
      <w:r w:rsidRPr="001675EF">
        <w:rPr>
          <w:rFonts w:ascii="Aptos" w:eastAsia="Times New Roman" w:hAnsi="Aptos" w:cstheme="minorHAnsi"/>
          <w:color w:val="464646"/>
        </w:rPr>
        <w:t>reliable</w:t>
      </w:r>
      <w:r w:rsidR="001A7D82" w:rsidRPr="001675EF">
        <w:rPr>
          <w:rFonts w:ascii="Aptos" w:eastAsia="Times New Roman" w:hAnsi="Aptos" w:cstheme="minorHAnsi"/>
          <w:color w:val="464646"/>
        </w:rPr>
        <w:t xml:space="preserve">, </w:t>
      </w:r>
      <w:r w:rsidRPr="001675EF">
        <w:rPr>
          <w:rFonts w:ascii="Aptos" w:eastAsia="Times New Roman" w:hAnsi="Aptos" w:cstheme="minorHAnsi"/>
          <w:color w:val="464646"/>
        </w:rPr>
        <w:t xml:space="preserve">affordable energy for American consumers and businesses. Federal policies should maximize consumer preferences and fuel fungibility to </w:t>
      </w:r>
      <w:r w:rsidR="00130D97" w:rsidRPr="001675EF">
        <w:rPr>
          <w:rFonts w:ascii="Aptos" w:eastAsia="Times New Roman" w:hAnsi="Aptos" w:cstheme="minorHAnsi"/>
          <w:color w:val="464646"/>
        </w:rPr>
        <w:t>strengthen</w:t>
      </w:r>
      <w:r w:rsidR="001A7D82" w:rsidRPr="001675EF">
        <w:rPr>
          <w:rFonts w:ascii="Aptos" w:eastAsia="Times New Roman" w:hAnsi="Aptos" w:cstheme="minorHAnsi"/>
          <w:color w:val="464646"/>
        </w:rPr>
        <w:t xml:space="preserve"> </w:t>
      </w:r>
      <w:r w:rsidRPr="001675EF">
        <w:rPr>
          <w:rFonts w:ascii="Aptos" w:eastAsia="Times New Roman" w:hAnsi="Aptos" w:cstheme="minorHAnsi"/>
          <w:color w:val="464646"/>
        </w:rPr>
        <w:t xml:space="preserve">a robust liquid fuels market. Accordingly, </w:t>
      </w:r>
      <w:r w:rsidR="001A7D82" w:rsidRPr="001675EF">
        <w:rPr>
          <w:rFonts w:ascii="Aptos" w:eastAsia="Times New Roman" w:hAnsi="Aptos" w:cstheme="minorHAnsi"/>
          <w:color w:val="464646"/>
        </w:rPr>
        <w:t xml:space="preserve">EMA </w:t>
      </w:r>
      <w:r w:rsidRPr="001675EF">
        <w:rPr>
          <w:rFonts w:ascii="Aptos" w:eastAsia="Times New Roman" w:hAnsi="Aptos" w:cstheme="minorHAnsi"/>
          <w:color w:val="464646"/>
        </w:rPr>
        <w:t>support</w:t>
      </w:r>
      <w:r w:rsidR="001A7D82" w:rsidRPr="001675EF">
        <w:rPr>
          <w:rFonts w:ascii="Aptos" w:eastAsia="Times New Roman" w:hAnsi="Aptos" w:cstheme="minorHAnsi"/>
          <w:color w:val="464646"/>
        </w:rPr>
        <w:t>s</w:t>
      </w:r>
      <w:r w:rsidRPr="001675EF">
        <w:rPr>
          <w:rFonts w:ascii="Aptos" w:eastAsia="Times New Roman" w:hAnsi="Aptos" w:cstheme="minorHAnsi"/>
          <w:color w:val="464646"/>
        </w:rPr>
        <w:t xml:space="preserve">: </w:t>
      </w:r>
    </w:p>
    <w:p w14:paraId="54B27170" w14:textId="77777777" w:rsidR="002E64B3" w:rsidRPr="001675EF" w:rsidRDefault="00401D2E" w:rsidP="00843BAA">
      <w:pPr>
        <w:pStyle w:val="ListParagraph"/>
        <w:numPr>
          <w:ilvl w:val="0"/>
          <w:numId w:val="4"/>
        </w:numPr>
        <w:shd w:val="clear" w:color="auto" w:fill="FFFFFF"/>
        <w:spacing w:after="225" w:line="240" w:lineRule="auto"/>
        <w:rPr>
          <w:rFonts w:ascii="Aptos" w:eastAsia="Times New Roman" w:hAnsi="Aptos" w:cstheme="minorHAnsi"/>
          <w:color w:val="000000" w:themeColor="text1"/>
        </w:rPr>
      </w:pPr>
      <w:r w:rsidRPr="001675EF">
        <w:rPr>
          <w:rFonts w:ascii="Aptos" w:eastAsia="Times New Roman" w:hAnsi="Aptos" w:cstheme="minorHAnsi"/>
          <w:b/>
          <w:bCs/>
          <w:color w:val="000000" w:themeColor="text1"/>
        </w:rPr>
        <w:t>U</w:t>
      </w:r>
      <w:r w:rsidR="00CE1973" w:rsidRPr="001675EF">
        <w:rPr>
          <w:rFonts w:ascii="Aptos" w:eastAsia="Times New Roman" w:hAnsi="Aptos" w:cstheme="minorHAnsi"/>
          <w:b/>
          <w:bCs/>
          <w:color w:val="000000" w:themeColor="text1"/>
        </w:rPr>
        <w:t xml:space="preserve">se of </w:t>
      </w:r>
      <w:r w:rsidR="00795958" w:rsidRPr="001675EF">
        <w:rPr>
          <w:rFonts w:ascii="Aptos" w:eastAsia="Times New Roman" w:hAnsi="Aptos" w:cstheme="minorHAnsi"/>
          <w:b/>
          <w:bCs/>
          <w:color w:val="000000" w:themeColor="text1"/>
        </w:rPr>
        <w:t xml:space="preserve">the </w:t>
      </w:r>
      <w:r w:rsidR="00CE1973" w:rsidRPr="001675EF">
        <w:rPr>
          <w:rFonts w:ascii="Aptos" w:eastAsia="Times New Roman" w:hAnsi="Aptos" w:cstheme="minorHAnsi"/>
          <w:b/>
          <w:bCs/>
          <w:color w:val="000000" w:themeColor="text1"/>
        </w:rPr>
        <w:t>Congressional Review Act (CRA</w:t>
      </w:r>
      <w:r w:rsidR="00795958" w:rsidRPr="001675EF">
        <w:rPr>
          <w:rFonts w:ascii="Aptos" w:eastAsia="Times New Roman" w:hAnsi="Aptos" w:cstheme="minorHAnsi"/>
          <w:b/>
          <w:bCs/>
          <w:color w:val="000000" w:themeColor="text1"/>
        </w:rPr>
        <w:t>)</w:t>
      </w:r>
      <w:r w:rsidR="00CE1973" w:rsidRPr="001675EF">
        <w:rPr>
          <w:rFonts w:ascii="Aptos" w:eastAsia="Times New Roman" w:hAnsi="Aptos" w:cstheme="minorHAnsi"/>
          <w:color w:val="000000" w:themeColor="text1"/>
        </w:rPr>
        <w:t xml:space="preserve"> to </w:t>
      </w:r>
      <w:r w:rsidR="005819FA" w:rsidRPr="001675EF">
        <w:rPr>
          <w:rFonts w:ascii="Aptos" w:eastAsia="Times New Roman" w:hAnsi="Aptos" w:cstheme="minorHAnsi"/>
          <w:color w:val="000000" w:themeColor="text1"/>
        </w:rPr>
        <w:t>overturn three Biden-era rules granting Clean Air Act waivers to California</w:t>
      </w:r>
      <w:r w:rsidRPr="001675EF">
        <w:rPr>
          <w:rFonts w:ascii="Aptos" w:eastAsia="Times New Roman" w:hAnsi="Aptos" w:cstheme="minorHAnsi"/>
          <w:color w:val="000000" w:themeColor="text1"/>
        </w:rPr>
        <w:t>, including the</w:t>
      </w:r>
      <w:r w:rsidR="005819FA" w:rsidRPr="001675EF">
        <w:rPr>
          <w:rFonts w:ascii="Aptos" w:eastAsia="Times New Roman" w:hAnsi="Aptos" w:cstheme="minorHAnsi"/>
          <w:color w:val="000000" w:themeColor="text1"/>
        </w:rPr>
        <w:t xml:space="preserve"> waiver</w:t>
      </w:r>
      <w:r w:rsidRPr="001675EF">
        <w:rPr>
          <w:rFonts w:ascii="Aptos" w:eastAsia="Times New Roman" w:hAnsi="Aptos" w:cstheme="minorHAnsi"/>
          <w:color w:val="000000" w:themeColor="text1"/>
        </w:rPr>
        <w:t>s</w:t>
      </w:r>
      <w:r w:rsidR="005819FA" w:rsidRPr="001675EF">
        <w:rPr>
          <w:rFonts w:ascii="Aptos" w:eastAsia="Times New Roman" w:hAnsi="Aptos" w:cstheme="minorHAnsi"/>
          <w:color w:val="000000" w:themeColor="text1"/>
        </w:rPr>
        <w:t xml:space="preserve"> for California's Advanced Clean Cars (ACC II) rule</w:t>
      </w:r>
      <w:r w:rsidRPr="001675EF">
        <w:rPr>
          <w:rFonts w:ascii="Aptos" w:eastAsia="Times New Roman" w:hAnsi="Aptos" w:cstheme="minorHAnsi"/>
          <w:color w:val="000000" w:themeColor="text1"/>
        </w:rPr>
        <w:t xml:space="preserve"> and</w:t>
      </w:r>
      <w:r w:rsidR="005819FA" w:rsidRPr="001675EF">
        <w:rPr>
          <w:rFonts w:ascii="Aptos" w:eastAsia="Times New Roman" w:hAnsi="Aptos" w:cstheme="minorHAnsi"/>
          <w:color w:val="000000" w:themeColor="text1"/>
        </w:rPr>
        <w:t xml:space="preserve"> the State's clean trucks and heavy-duty NOx r</w:t>
      </w:r>
      <w:r w:rsidRPr="001675EF">
        <w:rPr>
          <w:rFonts w:ascii="Aptos" w:eastAsia="Times New Roman" w:hAnsi="Aptos" w:cstheme="minorHAnsi"/>
          <w:color w:val="000000" w:themeColor="text1"/>
        </w:rPr>
        <w:t>egulations</w:t>
      </w:r>
      <w:r w:rsidR="005819FA" w:rsidRPr="001675EF">
        <w:rPr>
          <w:rFonts w:ascii="Aptos" w:eastAsia="Times New Roman" w:hAnsi="Aptos" w:cstheme="minorHAnsi"/>
          <w:color w:val="000000" w:themeColor="text1"/>
        </w:rPr>
        <w:t>.</w:t>
      </w:r>
      <w:r w:rsidRPr="001675EF">
        <w:rPr>
          <w:rFonts w:ascii="Aptos" w:eastAsia="Times New Roman" w:hAnsi="Aptos" w:cstheme="minorHAnsi"/>
          <w:color w:val="000000" w:themeColor="text1"/>
        </w:rPr>
        <w:t xml:space="preserve"> </w:t>
      </w:r>
    </w:p>
    <w:p w14:paraId="1DB69135" w14:textId="720A50F9" w:rsidR="001675EF" w:rsidRPr="001675EF" w:rsidRDefault="001675EF" w:rsidP="001675EF">
      <w:pPr>
        <w:pStyle w:val="ListParagraph"/>
        <w:numPr>
          <w:ilvl w:val="0"/>
          <w:numId w:val="4"/>
        </w:numPr>
        <w:shd w:val="clear" w:color="auto" w:fill="FFFFFF"/>
        <w:spacing w:after="225" w:line="240" w:lineRule="auto"/>
        <w:rPr>
          <w:rFonts w:ascii="Aptos" w:eastAsia="Times New Roman" w:hAnsi="Aptos" w:cstheme="minorHAnsi"/>
          <w:color w:val="000000" w:themeColor="text1"/>
        </w:rPr>
      </w:pPr>
      <w:r w:rsidRPr="001675EF">
        <w:rPr>
          <w:rFonts w:ascii="Aptos" w:eastAsia="Times New Roman" w:hAnsi="Aptos" w:cstheme="minorHAnsi"/>
          <w:b/>
          <w:bCs/>
          <w:color w:val="000000" w:themeColor="text1"/>
        </w:rPr>
        <w:t>Fair Sharing of Highways and Roads for Electric Vehicles Act of 2025 or the “Fair SHARE Act of 2025,” (S. 536)</w:t>
      </w:r>
      <w:r w:rsidR="002F7C51">
        <w:rPr>
          <w:rFonts w:ascii="Aptos" w:eastAsia="Times New Roman" w:hAnsi="Aptos" w:cstheme="minorHAnsi"/>
          <w:b/>
          <w:bCs/>
          <w:color w:val="000000" w:themeColor="text1"/>
        </w:rPr>
        <w:t xml:space="preserve"> (H.R. 1</w:t>
      </w:r>
      <w:r w:rsidR="004E358A">
        <w:rPr>
          <w:rFonts w:ascii="Aptos" w:eastAsia="Times New Roman" w:hAnsi="Aptos" w:cstheme="minorHAnsi"/>
          <w:b/>
          <w:bCs/>
          <w:color w:val="000000" w:themeColor="text1"/>
        </w:rPr>
        <w:t>2</w:t>
      </w:r>
      <w:r w:rsidR="00E5616C">
        <w:rPr>
          <w:rFonts w:ascii="Aptos" w:eastAsia="Times New Roman" w:hAnsi="Aptos" w:cstheme="minorHAnsi"/>
          <w:b/>
          <w:bCs/>
          <w:color w:val="000000" w:themeColor="text1"/>
        </w:rPr>
        <w:t>53</w:t>
      </w:r>
      <w:r w:rsidR="002F7C51">
        <w:rPr>
          <w:rFonts w:ascii="Aptos" w:eastAsia="Times New Roman" w:hAnsi="Aptos" w:cstheme="minorHAnsi"/>
          <w:b/>
          <w:bCs/>
          <w:color w:val="000000" w:themeColor="text1"/>
        </w:rPr>
        <w:t>)</w:t>
      </w:r>
      <w:r w:rsidR="006D62C7">
        <w:rPr>
          <w:rFonts w:ascii="Aptos" w:eastAsia="Times New Roman" w:hAnsi="Aptos" w:cstheme="minorHAnsi"/>
          <w:color w:val="000000" w:themeColor="text1"/>
        </w:rPr>
        <w:t xml:space="preserve">, </w:t>
      </w:r>
      <w:r w:rsidRPr="001675EF">
        <w:rPr>
          <w:rFonts w:ascii="Aptos" w:eastAsia="Times New Roman" w:hAnsi="Aptos" w:cstheme="minorHAnsi"/>
          <w:color w:val="000000" w:themeColor="text1"/>
        </w:rPr>
        <w:t xml:space="preserve">sponsored by Senators Fischer (R-NE), Ricketts (R-NE), and Lummis (R-WY) </w:t>
      </w:r>
      <w:r w:rsidR="002F7C51">
        <w:rPr>
          <w:rFonts w:ascii="Aptos" w:eastAsia="Times New Roman" w:hAnsi="Aptos" w:cstheme="minorHAnsi"/>
          <w:color w:val="000000" w:themeColor="text1"/>
        </w:rPr>
        <w:t xml:space="preserve">and Congressman </w:t>
      </w:r>
      <w:r w:rsidR="00EF0877">
        <w:rPr>
          <w:rFonts w:ascii="Aptos" w:eastAsia="Times New Roman" w:hAnsi="Aptos" w:cstheme="minorHAnsi"/>
          <w:color w:val="000000" w:themeColor="text1"/>
        </w:rPr>
        <w:t>Dusty Johnson (R-SD)</w:t>
      </w:r>
      <w:r w:rsidR="006D62C7">
        <w:rPr>
          <w:rFonts w:ascii="Aptos" w:eastAsia="Times New Roman" w:hAnsi="Aptos" w:cstheme="minorHAnsi"/>
          <w:color w:val="000000" w:themeColor="text1"/>
        </w:rPr>
        <w:t>, which</w:t>
      </w:r>
      <w:r w:rsidRPr="001675EF">
        <w:rPr>
          <w:rFonts w:ascii="Aptos" w:eastAsia="Times New Roman" w:hAnsi="Aptos" w:cstheme="minorHAnsi"/>
          <w:color w:val="000000" w:themeColor="text1"/>
        </w:rPr>
        <w:t xml:space="preserve"> </w:t>
      </w:r>
      <w:r w:rsidR="00581EF3">
        <w:rPr>
          <w:rFonts w:ascii="Aptos" w:eastAsia="Times New Roman" w:hAnsi="Aptos" w:cstheme="minorHAnsi"/>
          <w:color w:val="000000" w:themeColor="text1"/>
        </w:rPr>
        <w:t>imposes</w:t>
      </w:r>
      <w:r w:rsidRPr="001675EF">
        <w:rPr>
          <w:rFonts w:ascii="Aptos" w:eastAsia="Times New Roman" w:hAnsi="Aptos" w:cstheme="minorHAnsi"/>
          <w:color w:val="000000" w:themeColor="text1"/>
        </w:rPr>
        <w:t xml:space="preserve"> a one-time $1,000 fee on EV purchases to ensure EV owners contribute to the Highway Trust Fund like gas-powered vehicle owners do.  </w:t>
      </w:r>
    </w:p>
    <w:p w14:paraId="5CB6ABC7" w14:textId="7E8FBD84" w:rsidR="004313C7" w:rsidRPr="001675EF" w:rsidRDefault="006D62C7" w:rsidP="004313C7">
      <w:pPr>
        <w:pStyle w:val="ListParagraph"/>
        <w:numPr>
          <w:ilvl w:val="0"/>
          <w:numId w:val="4"/>
        </w:numPr>
        <w:shd w:val="clear" w:color="auto" w:fill="FFFFFF"/>
        <w:spacing w:after="225" w:line="240" w:lineRule="auto"/>
        <w:rPr>
          <w:rFonts w:ascii="Aptos" w:eastAsia="Times New Roman" w:hAnsi="Aptos" w:cstheme="minorHAnsi"/>
          <w:color w:val="000000" w:themeColor="text1"/>
        </w:rPr>
      </w:pPr>
      <w:r w:rsidRPr="006D62C7">
        <w:rPr>
          <w:rFonts w:ascii="Aptos" w:eastAsia="Times New Roman" w:hAnsi="Aptos" w:cstheme="minorHAnsi"/>
          <w:b/>
          <w:bCs/>
          <w:color w:val="000000" w:themeColor="text1"/>
        </w:rPr>
        <w:t>The Eliminating Lavish Incentives to Electric (ELITE) Vehicles Act (S. 541)</w:t>
      </w:r>
      <w:r>
        <w:rPr>
          <w:rFonts w:ascii="Aptos" w:eastAsia="Times New Roman" w:hAnsi="Aptos" w:cstheme="minorHAnsi"/>
          <w:b/>
          <w:bCs/>
          <w:color w:val="000000" w:themeColor="text1"/>
        </w:rPr>
        <w:t xml:space="preserve"> (H.R. 1367),</w:t>
      </w:r>
      <w:r w:rsidRPr="006D62C7">
        <w:t xml:space="preserve"> </w:t>
      </w:r>
      <w:r w:rsidRPr="006D62C7">
        <w:rPr>
          <w:rFonts w:ascii="Aptos" w:eastAsia="Times New Roman" w:hAnsi="Aptos" w:cstheme="minorHAnsi"/>
          <w:color w:val="000000" w:themeColor="text1"/>
        </w:rPr>
        <w:t xml:space="preserve">sponsored by Senator </w:t>
      </w:r>
      <w:r>
        <w:rPr>
          <w:rFonts w:ascii="Aptos" w:eastAsia="Times New Roman" w:hAnsi="Aptos" w:cstheme="minorHAnsi"/>
          <w:color w:val="000000" w:themeColor="text1"/>
        </w:rPr>
        <w:t xml:space="preserve">Barrasso (R-WY) </w:t>
      </w:r>
      <w:r w:rsidRPr="006D62C7">
        <w:rPr>
          <w:rFonts w:ascii="Aptos" w:eastAsia="Times New Roman" w:hAnsi="Aptos" w:cstheme="minorHAnsi"/>
          <w:color w:val="000000" w:themeColor="text1"/>
        </w:rPr>
        <w:t xml:space="preserve">and Congressman </w:t>
      </w:r>
      <w:r>
        <w:rPr>
          <w:rFonts w:ascii="Aptos" w:eastAsia="Times New Roman" w:hAnsi="Aptos" w:cstheme="minorHAnsi"/>
          <w:color w:val="000000" w:themeColor="text1"/>
        </w:rPr>
        <w:t xml:space="preserve">Arrington (R-TX), </w:t>
      </w:r>
      <w:r w:rsidRPr="006D62C7">
        <w:rPr>
          <w:rFonts w:ascii="Aptos" w:eastAsia="Times New Roman" w:hAnsi="Aptos" w:cstheme="minorHAnsi"/>
          <w:color w:val="000000" w:themeColor="text1"/>
        </w:rPr>
        <w:t>which</w:t>
      </w:r>
      <w:r>
        <w:rPr>
          <w:rFonts w:ascii="Aptos" w:eastAsia="Times New Roman" w:hAnsi="Aptos" w:cstheme="minorHAnsi"/>
          <w:color w:val="000000" w:themeColor="text1"/>
        </w:rPr>
        <w:t xml:space="preserve"> </w:t>
      </w:r>
      <w:r w:rsidR="00581EF3">
        <w:rPr>
          <w:rFonts w:ascii="Aptos" w:eastAsia="Times New Roman" w:hAnsi="Aptos" w:cstheme="minorHAnsi"/>
          <w:color w:val="000000" w:themeColor="text1"/>
        </w:rPr>
        <w:t xml:space="preserve">repeals </w:t>
      </w:r>
      <w:r w:rsidRPr="006D62C7">
        <w:rPr>
          <w:rFonts w:ascii="Aptos" w:eastAsia="Times New Roman" w:hAnsi="Aptos" w:cstheme="minorHAnsi"/>
          <w:color w:val="000000" w:themeColor="text1"/>
        </w:rPr>
        <w:t>the $7,500 tax credit for ne</w:t>
      </w:r>
      <w:r>
        <w:rPr>
          <w:rFonts w:ascii="Aptos" w:eastAsia="Times New Roman" w:hAnsi="Aptos" w:cstheme="minorHAnsi"/>
          <w:color w:val="000000" w:themeColor="text1"/>
        </w:rPr>
        <w:t>w EVs</w:t>
      </w:r>
      <w:r w:rsidRPr="006D62C7">
        <w:rPr>
          <w:rFonts w:ascii="Aptos" w:eastAsia="Times New Roman" w:hAnsi="Aptos" w:cstheme="minorHAnsi"/>
          <w:color w:val="000000" w:themeColor="text1"/>
        </w:rPr>
        <w:t>, eliminate</w:t>
      </w:r>
      <w:r w:rsidR="00581EF3">
        <w:rPr>
          <w:rFonts w:ascii="Aptos" w:eastAsia="Times New Roman" w:hAnsi="Aptos" w:cstheme="minorHAnsi"/>
          <w:color w:val="000000" w:themeColor="text1"/>
        </w:rPr>
        <w:t>s</w:t>
      </w:r>
      <w:r w:rsidRPr="006D62C7">
        <w:rPr>
          <w:rFonts w:ascii="Aptos" w:eastAsia="Times New Roman" w:hAnsi="Aptos" w:cstheme="minorHAnsi"/>
          <w:color w:val="000000" w:themeColor="text1"/>
        </w:rPr>
        <w:t xml:space="preserve"> the tax credit for purchasing used EVs, wipes out the federal investment tax credit for electric vehicle charging stations, and closes the “leasing loophole” that has allowed certain taxpayers and foreign entities to evade restrictions on EV incentives.</w:t>
      </w:r>
      <w:r w:rsidRPr="006D62C7">
        <w:rPr>
          <w:rFonts w:ascii="Aptos" w:eastAsia="Times New Roman" w:hAnsi="Aptos" w:cstheme="minorHAnsi"/>
          <w:b/>
          <w:bCs/>
          <w:color w:val="000000" w:themeColor="text1"/>
        </w:rPr>
        <w:t xml:space="preserve"> </w:t>
      </w:r>
    </w:p>
    <w:p w14:paraId="0FD35A57" w14:textId="77777777" w:rsidR="00AD1BF7" w:rsidRPr="001675EF" w:rsidRDefault="00401D2E" w:rsidP="00A54D09">
      <w:pPr>
        <w:pStyle w:val="ListParagraph"/>
        <w:numPr>
          <w:ilvl w:val="0"/>
          <w:numId w:val="4"/>
        </w:numPr>
        <w:shd w:val="clear" w:color="auto" w:fill="FFFFFF"/>
        <w:spacing w:after="225" w:line="240" w:lineRule="auto"/>
        <w:rPr>
          <w:rFonts w:ascii="Aptos" w:eastAsia="Times New Roman" w:hAnsi="Aptos" w:cstheme="minorHAnsi"/>
          <w:color w:val="000000" w:themeColor="text1"/>
        </w:rPr>
      </w:pPr>
      <w:r w:rsidRPr="001675EF">
        <w:rPr>
          <w:rFonts w:ascii="Aptos" w:eastAsia="Times New Roman" w:hAnsi="Aptos" w:cstheme="minorHAnsi"/>
          <w:b/>
          <w:bCs/>
          <w:color w:val="000000" w:themeColor="text1"/>
        </w:rPr>
        <w:t xml:space="preserve">Increased funding </w:t>
      </w:r>
      <w:r w:rsidRPr="001675EF">
        <w:rPr>
          <w:rFonts w:ascii="Aptos" w:hAnsi="Aptos"/>
          <w:b/>
          <w:bCs/>
          <w:noProof/>
          <w:color w:val="000000" w:themeColor="text1"/>
        </w:rPr>
        <w:t>for the Higher Blends Infrastructure Incentive Program (HBIIP)</w:t>
      </w:r>
      <w:r w:rsidRPr="001675EF">
        <w:rPr>
          <w:rFonts w:ascii="Aptos" w:hAnsi="Aptos"/>
          <w:noProof/>
          <w:color w:val="000000" w:themeColor="text1"/>
        </w:rPr>
        <w:t xml:space="preserve"> to help small business energy marketers to expand access to </w:t>
      </w:r>
      <w:r w:rsidRPr="001675EF">
        <w:rPr>
          <w:rFonts w:ascii="Aptos" w:hAnsi="Aptos" w:cs="Calibri"/>
          <w:color w:val="000000" w:themeColor="text1"/>
        </w:rPr>
        <w:t>affordable biofuels and improve fueling infrastructure nationwide.</w:t>
      </w:r>
    </w:p>
    <w:p w14:paraId="3A3D7719" w14:textId="77777777" w:rsidR="00C87DFB" w:rsidRPr="001675EF" w:rsidRDefault="00401D2E" w:rsidP="00114A86">
      <w:pPr>
        <w:shd w:val="clear" w:color="auto" w:fill="FFFFFF"/>
        <w:spacing w:after="225" w:line="240" w:lineRule="auto"/>
        <w:contextualSpacing/>
        <w:rPr>
          <w:rFonts w:ascii="Aptos" w:eastAsia="Times New Roman" w:hAnsi="Aptos" w:cstheme="minorHAnsi"/>
          <w:b/>
          <w:bCs/>
          <w:color w:val="0070C0"/>
        </w:rPr>
      </w:pPr>
      <w:r w:rsidRPr="001675EF">
        <w:rPr>
          <w:rFonts w:ascii="Aptos" w:eastAsia="Times New Roman" w:hAnsi="Aptos" w:cstheme="minorHAnsi"/>
          <w:b/>
          <w:bCs/>
          <w:color w:val="0070C0"/>
        </w:rPr>
        <w:t xml:space="preserve">Urge </w:t>
      </w:r>
      <w:r w:rsidR="009460EE" w:rsidRPr="001675EF">
        <w:rPr>
          <w:rFonts w:ascii="Aptos" w:eastAsia="Times New Roman" w:hAnsi="Aptos" w:cstheme="minorHAnsi"/>
          <w:b/>
          <w:bCs/>
          <w:color w:val="0070C0"/>
        </w:rPr>
        <w:t>Senators</w:t>
      </w:r>
      <w:r w:rsidRPr="001675EF">
        <w:rPr>
          <w:rFonts w:ascii="Aptos" w:eastAsia="Times New Roman" w:hAnsi="Aptos" w:cstheme="minorHAnsi"/>
          <w:b/>
          <w:bCs/>
          <w:color w:val="0070C0"/>
        </w:rPr>
        <w:t xml:space="preserve"> to Support Resolutions </w:t>
      </w:r>
      <w:r w:rsidR="00D314A2" w:rsidRPr="001675EF">
        <w:rPr>
          <w:rFonts w:ascii="Aptos" w:eastAsia="Times New Roman" w:hAnsi="Aptos" w:cstheme="minorHAnsi"/>
          <w:b/>
          <w:bCs/>
          <w:color w:val="0070C0"/>
        </w:rPr>
        <w:t>to Overturn California Waivers Allowing ICE</w:t>
      </w:r>
      <w:r w:rsidR="009460EE" w:rsidRPr="001675EF">
        <w:rPr>
          <w:rFonts w:ascii="Aptos" w:eastAsia="Times New Roman" w:hAnsi="Aptos" w:cstheme="minorHAnsi"/>
          <w:b/>
          <w:bCs/>
          <w:color w:val="0070C0"/>
        </w:rPr>
        <w:t>V</w:t>
      </w:r>
      <w:r w:rsidR="00D314A2" w:rsidRPr="001675EF">
        <w:rPr>
          <w:rFonts w:ascii="Aptos" w:eastAsia="Times New Roman" w:hAnsi="Aptos" w:cstheme="minorHAnsi"/>
          <w:b/>
          <w:bCs/>
          <w:color w:val="0070C0"/>
        </w:rPr>
        <w:t xml:space="preserve"> </w:t>
      </w:r>
      <w:r w:rsidRPr="001675EF">
        <w:rPr>
          <w:rFonts w:ascii="Aptos" w:eastAsia="Times New Roman" w:hAnsi="Aptos" w:cstheme="minorHAnsi"/>
          <w:b/>
          <w:bCs/>
          <w:color w:val="0070C0"/>
        </w:rPr>
        <w:t xml:space="preserve">Bans </w:t>
      </w:r>
    </w:p>
    <w:p w14:paraId="630EDC76" w14:textId="497591A6" w:rsidR="009460EE" w:rsidRPr="001675EF" w:rsidRDefault="00401D2E" w:rsidP="009460EE">
      <w:pPr>
        <w:shd w:val="clear" w:color="auto" w:fill="FFFFFF"/>
        <w:spacing w:after="225" w:line="240" w:lineRule="auto"/>
        <w:contextualSpacing/>
        <w:rPr>
          <w:rFonts w:ascii="Aptos" w:eastAsia="Times New Roman" w:hAnsi="Aptos" w:cstheme="minorHAnsi"/>
          <w:color w:val="464646"/>
        </w:rPr>
      </w:pPr>
      <w:r w:rsidRPr="001675EF">
        <w:rPr>
          <w:rFonts w:ascii="Aptos" w:eastAsia="Times New Roman" w:hAnsi="Aptos" w:cstheme="minorHAnsi"/>
          <w:color w:val="464646"/>
        </w:rPr>
        <w:t xml:space="preserve">The House of Representatives approved three Congressional Review Act (CRA) resolutions  that would overturn the EPA’s approval of the Clean Air Act waiver for California's Advanced Clean Cars (ACC II) rule, along with approved federal waivers for the State's clean trucks and heavy-duty NOx rules. 10 Democrats supported the </w:t>
      </w:r>
      <w:r w:rsidR="0023522A" w:rsidRPr="001675EF">
        <w:rPr>
          <w:rFonts w:ascii="Aptos" w:eastAsia="Times New Roman" w:hAnsi="Aptos" w:cstheme="minorHAnsi"/>
          <w:color w:val="464646"/>
        </w:rPr>
        <w:t xml:space="preserve">Joint </w:t>
      </w:r>
      <w:r w:rsidRPr="001675EF">
        <w:rPr>
          <w:rFonts w:ascii="Aptos" w:eastAsia="Times New Roman" w:hAnsi="Aptos" w:cstheme="minorHAnsi"/>
          <w:color w:val="464646"/>
        </w:rPr>
        <w:t xml:space="preserve">Resolution to stop California from dictating which cars motorists should drive and 13 </w:t>
      </w:r>
      <w:r w:rsidR="0023522A" w:rsidRPr="001675EF">
        <w:rPr>
          <w:rFonts w:ascii="Aptos" w:eastAsia="Times New Roman" w:hAnsi="Aptos" w:cstheme="minorHAnsi"/>
          <w:color w:val="464646"/>
        </w:rPr>
        <w:t xml:space="preserve">Democrats </w:t>
      </w:r>
      <w:r w:rsidRPr="001675EF">
        <w:rPr>
          <w:rFonts w:ascii="Aptos" w:eastAsia="Times New Roman" w:hAnsi="Aptos" w:cstheme="minorHAnsi"/>
          <w:color w:val="464646"/>
        </w:rPr>
        <w:t xml:space="preserve">voted to block California’s electric truck mandate. </w:t>
      </w:r>
    </w:p>
    <w:p w14:paraId="4C2C87AA" w14:textId="77777777" w:rsidR="009460EE" w:rsidRPr="001675EF" w:rsidRDefault="009460EE" w:rsidP="009460EE">
      <w:pPr>
        <w:shd w:val="clear" w:color="auto" w:fill="FFFFFF"/>
        <w:spacing w:after="225" w:line="240" w:lineRule="auto"/>
        <w:contextualSpacing/>
        <w:rPr>
          <w:rFonts w:ascii="Aptos" w:eastAsia="Times New Roman" w:hAnsi="Aptos" w:cstheme="minorHAnsi"/>
          <w:color w:val="464646"/>
        </w:rPr>
      </w:pPr>
    </w:p>
    <w:p w14:paraId="635D54B4" w14:textId="74C36F60" w:rsidR="00114A86" w:rsidRPr="001675EF" w:rsidRDefault="00401D2E" w:rsidP="009460EE">
      <w:pPr>
        <w:shd w:val="clear" w:color="auto" w:fill="FFFFFF"/>
        <w:spacing w:after="225" w:line="240" w:lineRule="auto"/>
        <w:contextualSpacing/>
        <w:rPr>
          <w:rFonts w:ascii="Aptos" w:eastAsia="Times New Roman" w:hAnsi="Aptos" w:cstheme="minorHAnsi"/>
          <w:color w:val="464646"/>
        </w:rPr>
      </w:pPr>
      <w:r w:rsidRPr="001675EF">
        <w:rPr>
          <w:rFonts w:ascii="Aptos" w:eastAsia="Times New Roman" w:hAnsi="Aptos" w:cstheme="minorHAnsi"/>
          <w:color w:val="464646"/>
        </w:rPr>
        <w:t>Under the CRA, Congress is empowered to review “rules” issued by federal agencies, including EPA. Congress may review a rule for a period of 60 days and then disapprove it using special procedures</w:t>
      </w:r>
      <w:r w:rsidR="0023522A" w:rsidRPr="001675EF">
        <w:rPr>
          <w:rFonts w:ascii="Aptos" w:eastAsia="Times New Roman" w:hAnsi="Aptos" w:cstheme="minorHAnsi"/>
          <w:color w:val="464646"/>
        </w:rPr>
        <w:t xml:space="preserve"> through</w:t>
      </w:r>
      <w:r w:rsidRPr="001675EF">
        <w:rPr>
          <w:rFonts w:ascii="Aptos" w:eastAsia="Times New Roman" w:hAnsi="Aptos" w:cstheme="minorHAnsi"/>
          <w:color w:val="464646"/>
        </w:rPr>
        <w:t xml:space="preserve"> a joint resolution of disapproval.  Now</w:t>
      </w:r>
      <w:r w:rsidR="00B43109" w:rsidRPr="001675EF">
        <w:rPr>
          <w:rFonts w:ascii="Aptos" w:eastAsia="Times New Roman" w:hAnsi="Aptos" w:cstheme="minorHAnsi"/>
          <w:color w:val="464646"/>
        </w:rPr>
        <w:t>,</w:t>
      </w:r>
      <w:r w:rsidRPr="001675EF">
        <w:rPr>
          <w:rFonts w:ascii="Aptos" w:eastAsia="Times New Roman" w:hAnsi="Aptos" w:cstheme="minorHAnsi"/>
          <w:color w:val="464646"/>
        </w:rPr>
        <w:t xml:space="preserve"> the House</w:t>
      </w:r>
      <w:r w:rsidR="00B43109" w:rsidRPr="001675EF">
        <w:rPr>
          <w:rFonts w:ascii="Aptos" w:eastAsia="Times New Roman" w:hAnsi="Aptos" w:cstheme="minorHAnsi"/>
          <w:color w:val="464646"/>
        </w:rPr>
        <w:t xml:space="preserve">-passed joint </w:t>
      </w:r>
      <w:r w:rsidRPr="001675EF">
        <w:rPr>
          <w:rFonts w:ascii="Aptos" w:eastAsia="Times New Roman" w:hAnsi="Aptos" w:cstheme="minorHAnsi"/>
          <w:color w:val="464646"/>
        </w:rPr>
        <w:t xml:space="preserve">resolutions head to the Senate, however, there does remain a few outstanding procedural questions. That’s because Senate </w:t>
      </w:r>
      <w:r w:rsidR="00B43109" w:rsidRPr="001675EF">
        <w:rPr>
          <w:rFonts w:ascii="Aptos" w:eastAsia="Times New Roman" w:hAnsi="Aptos" w:cstheme="minorHAnsi"/>
          <w:color w:val="464646"/>
        </w:rPr>
        <w:t xml:space="preserve">Parliamentarian </w:t>
      </w:r>
      <w:r w:rsidRPr="001675EF">
        <w:rPr>
          <w:rFonts w:ascii="Aptos" w:eastAsia="Times New Roman" w:hAnsi="Aptos" w:cstheme="minorHAnsi"/>
          <w:color w:val="464646"/>
        </w:rPr>
        <w:t>Elizabeth MacDonough, who acts as the Senate’s independent referee, disagrees that the CRA can be used to overturn California’s emissions standard rules. Her ruling followed a Government Accountability Office opinion issued earlier this year that California’s waivers aren’t federal rules subject to CRA. The GOP needs 51 votes to approve the CRA</w:t>
      </w:r>
      <w:r w:rsidR="00B43109" w:rsidRPr="001675EF">
        <w:rPr>
          <w:rFonts w:ascii="Aptos" w:eastAsia="Times New Roman" w:hAnsi="Aptos" w:cstheme="minorHAnsi"/>
          <w:color w:val="464646"/>
        </w:rPr>
        <w:t>,</w:t>
      </w:r>
      <w:r w:rsidRPr="001675EF">
        <w:rPr>
          <w:rFonts w:ascii="Aptos" w:eastAsia="Times New Roman" w:hAnsi="Aptos" w:cstheme="minorHAnsi"/>
          <w:color w:val="464646"/>
        </w:rPr>
        <w:t xml:space="preserve"> so they can only lose two votes.</w:t>
      </w:r>
      <w:r w:rsidRPr="001675EF">
        <w:rPr>
          <w:rFonts w:ascii="Aptos" w:eastAsia="Times New Roman" w:hAnsi="Aptos" w:cstheme="minorHAnsi"/>
          <w:color w:val="464646"/>
        </w:rPr>
        <w:br/>
      </w:r>
      <w:r w:rsidRPr="001675EF">
        <w:rPr>
          <w:rFonts w:ascii="Aptos" w:eastAsia="Times New Roman" w:hAnsi="Aptos" w:cstheme="minorHAnsi"/>
          <w:color w:val="464646"/>
        </w:rPr>
        <w:br/>
        <w:t xml:space="preserve">California’s ACC II rule includes a mandate for vehicle manufacturers to sell increasing percentages of zero-emission vehicles in the State, beginning in model year 2026, and culminating in a ban on internal combustion engine-powered vehicles in 2035. To date, 17 states have adopted portions of California’s light- and heavy-duty vehicle regulations. By design, California’s ACC II rules operate to reduce the liquid fuels market by giving preferential treatment to electric vehicles, thereby injuring energy marketers and others who participate in the </w:t>
      </w:r>
      <w:r w:rsidRPr="001675EF">
        <w:rPr>
          <w:rFonts w:ascii="Aptos" w:eastAsia="Times New Roman" w:hAnsi="Aptos" w:cstheme="minorHAnsi"/>
          <w:color w:val="464646"/>
        </w:rPr>
        <w:lastRenderedPageBreak/>
        <w:t>market. EPA’s waivers</w:t>
      </w:r>
      <w:r w:rsidR="00A452DF" w:rsidRPr="001675EF">
        <w:rPr>
          <w:rFonts w:ascii="Aptos" w:eastAsia="Times New Roman" w:hAnsi="Aptos" w:cstheme="minorHAnsi"/>
          <w:color w:val="464646"/>
        </w:rPr>
        <w:t xml:space="preserve"> have a systemic inflationary effect ––</w:t>
      </w:r>
      <w:r w:rsidRPr="001675EF">
        <w:rPr>
          <w:rFonts w:ascii="Aptos" w:eastAsia="Times New Roman" w:hAnsi="Aptos" w:cstheme="minorHAnsi"/>
          <w:color w:val="464646"/>
        </w:rPr>
        <w:t xml:space="preserve"> not only increas</w:t>
      </w:r>
      <w:r w:rsidR="00A452DF" w:rsidRPr="001675EF">
        <w:rPr>
          <w:rFonts w:ascii="Aptos" w:eastAsia="Times New Roman" w:hAnsi="Aptos" w:cstheme="minorHAnsi"/>
          <w:color w:val="464646"/>
        </w:rPr>
        <w:t xml:space="preserve">ing the cost of </w:t>
      </w:r>
      <w:r w:rsidRPr="001675EF">
        <w:rPr>
          <w:rFonts w:ascii="Aptos" w:eastAsia="Times New Roman" w:hAnsi="Aptos" w:cstheme="minorHAnsi"/>
          <w:color w:val="464646"/>
        </w:rPr>
        <w:t>vehicle</w:t>
      </w:r>
      <w:r w:rsidR="00A452DF" w:rsidRPr="001675EF">
        <w:rPr>
          <w:rFonts w:ascii="Aptos" w:eastAsia="Times New Roman" w:hAnsi="Aptos" w:cstheme="minorHAnsi"/>
          <w:color w:val="464646"/>
        </w:rPr>
        <w:t>s</w:t>
      </w:r>
      <w:r w:rsidRPr="001675EF">
        <w:rPr>
          <w:rFonts w:ascii="Aptos" w:eastAsia="Times New Roman" w:hAnsi="Aptos" w:cstheme="minorHAnsi"/>
          <w:color w:val="464646"/>
        </w:rPr>
        <w:t xml:space="preserve"> but also </w:t>
      </w:r>
      <w:r w:rsidR="00A452DF" w:rsidRPr="001675EF">
        <w:rPr>
          <w:rFonts w:ascii="Aptos" w:eastAsia="Times New Roman" w:hAnsi="Aptos" w:cstheme="minorHAnsi"/>
          <w:color w:val="464646"/>
        </w:rPr>
        <w:t xml:space="preserve">raising the cost of goods and services </w:t>
      </w:r>
      <w:r w:rsidRPr="001675EF">
        <w:rPr>
          <w:rFonts w:ascii="Aptos" w:eastAsia="Times New Roman" w:hAnsi="Aptos" w:cstheme="minorHAnsi"/>
          <w:color w:val="464646"/>
        </w:rPr>
        <w:t>for American families.</w:t>
      </w:r>
      <w:bookmarkStart w:id="0" w:name="_Hlk195181038"/>
      <w:r w:rsidR="00111B2A" w:rsidRPr="001675EF">
        <w:rPr>
          <w:rFonts w:ascii="Aptos" w:eastAsia="Times New Roman" w:hAnsi="Aptos" w:cstheme="minorHAnsi"/>
          <w:color w:val="464646"/>
        </w:rPr>
        <w:t xml:space="preserve">  </w:t>
      </w:r>
      <w:r w:rsidR="003E6D1D" w:rsidRPr="001675EF">
        <w:rPr>
          <w:rFonts w:ascii="Aptos" w:eastAsia="Times New Roman" w:hAnsi="Aptos" w:cstheme="minorHAnsi"/>
          <w:b/>
          <w:bCs/>
          <w:i/>
          <w:iCs/>
          <w:color w:val="464646"/>
        </w:rPr>
        <w:t xml:space="preserve">EMA </w:t>
      </w:r>
      <w:r w:rsidR="000E2187" w:rsidRPr="001675EF">
        <w:rPr>
          <w:rFonts w:ascii="Aptos" w:eastAsia="Times New Roman" w:hAnsi="Aptos" w:cstheme="minorHAnsi"/>
          <w:b/>
          <w:bCs/>
          <w:i/>
          <w:iCs/>
          <w:color w:val="464646"/>
        </w:rPr>
        <w:t>urge</w:t>
      </w:r>
      <w:r w:rsidR="003E6D1D" w:rsidRPr="001675EF">
        <w:rPr>
          <w:rFonts w:ascii="Aptos" w:eastAsia="Times New Roman" w:hAnsi="Aptos" w:cstheme="minorHAnsi"/>
          <w:b/>
          <w:bCs/>
          <w:i/>
          <w:iCs/>
          <w:color w:val="464646"/>
        </w:rPr>
        <w:t>s</w:t>
      </w:r>
      <w:r w:rsidR="000E2187" w:rsidRPr="001675EF">
        <w:rPr>
          <w:rFonts w:ascii="Aptos" w:eastAsia="Times New Roman" w:hAnsi="Aptos" w:cstheme="minorHAnsi"/>
          <w:b/>
          <w:bCs/>
          <w:i/>
          <w:iCs/>
          <w:color w:val="464646"/>
        </w:rPr>
        <w:t xml:space="preserve"> </w:t>
      </w:r>
      <w:r w:rsidRPr="001675EF">
        <w:rPr>
          <w:rFonts w:ascii="Aptos" w:eastAsia="Times New Roman" w:hAnsi="Aptos" w:cstheme="minorHAnsi"/>
          <w:b/>
          <w:bCs/>
          <w:i/>
          <w:iCs/>
          <w:color w:val="464646"/>
        </w:rPr>
        <w:t>Senators to support the CRA resolutions of disapproval for the California waivers and restor</w:t>
      </w:r>
      <w:r w:rsidR="00A50565" w:rsidRPr="001675EF">
        <w:rPr>
          <w:rFonts w:ascii="Aptos" w:eastAsia="Times New Roman" w:hAnsi="Aptos" w:cstheme="minorHAnsi"/>
          <w:b/>
          <w:bCs/>
          <w:i/>
          <w:iCs/>
          <w:color w:val="464646"/>
        </w:rPr>
        <w:t>e</w:t>
      </w:r>
      <w:r w:rsidRPr="001675EF">
        <w:rPr>
          <w:rFonts w:ascii="Aptos" w:eastAsia="Times New Roman" w:hAnsi="Aptos" w:cstheme="minorHAnsi"/>
          <w:b/>
          <w:bCs/>
          <w:i/>
          <w:iCs/>
          <w:color w:val="464646"/>
        </w:rPr>
        <w:t xml:space="preserve"> vehicle choice for all Americans.</w:t>
      </w:r>
    </w:p>
    <w:p w14:paraId="0E877654" w14:textId="77777777" w:rsidR="003E6D1D" w:rsidRPr="001675EF" w:rsidRDefault="003E6D1D" w:rsidP="00114A86">
      <w:pPr>
        <w:shd w:val="clear" w:color="auto" w:fill="FFFFFF"/>
        <w:spacing w:after="225" w:line="240" w:lineRule="auto"/>
        <w:contextualSpacing/>
        <w:rPr>
          <w:rFonts w:ascii="Aptos" w:eastAsia="Times New Roman" w:hAnsi="Aptos" w:cstheme="minorHAnsi"/>
          <w:b/>
          <w:bCs/>
          <w:color w:val="0070C0"/>
        </w:rPr>
      </w:pPr>
    </w:p>
    <w:bookmarkEnd w:id="0"/>
    <w:p w14:paraId="7DD32E6F" w14:textId="77777777" w:rsidR="00EC728D" w:rsidRPr="001675EF" w:rsidRDefault="00401D2E" w:rsidP="00A54D09">
      <w:pPr>
        <w:shd w:val="clear" w:color="auto" w:fill="FFFFFF"/>
        <w:spacing w:after="225" w:line="240" w:lineRule="auto"/>
        <w:contextualSpacing/>
        <w:rPr>
          <w:rFonts w:ascii="Aptos" w:eastAsia="Times New Roman" w:hAnsi="Aptos" w:cstheme="minorHAnsi"/>
          <w:b/>
          <w:bCs/>
          <w:color w:val="0070C0"/>
        </w:rPr>
      </w:pPr>
      <w:r w:rsidRPr="001675EF">
        <w:rPr>
          <w:rFonts w:ascii="Aptos" w:eastAsia="Times New Roman" w:hAnsi="Aptos" w:cstheme="minorHAnsi"/>
          <w:b/>
          <w:bCs/>
          <w:color w:val="0070C0"/>
        </w:rPr>
        <w:t>RVP Summertime Fuel “Opt-Out”</w:t>
      </w:r>
      <w:r w:rsidR="00CA066A" w:rsidRPr="001675EF">
        <w:rPr>
          <w:rFonts w:ascii="Aptos" w:eastAsia="Times New Roman" w:hAnsi="Aptos" w:cstheme="minorHAnsi"/>
          <w:b/>
          <w:bCs/>
          <w:color w:val="0070C0"/>
        </w:rPr>
        <w:t xml:space="preserve"> and the </w:t>
      </w:r>
      <w:r w:rsidR="00FF05AB" w:rsidRPr="001675EF">
        <w:rPr>
          <w:rFonts w:ascii="Aptos" w:eastAsia="Times New Roman" w:hAnsi="Aptos" w:cstheme="minorHAnsi"/>
          <w:b/>
          <w:bCs/>
          <w:color w:val="0070C0"/>
        </w:rPr>
        <w:t>Nationwide Consumer and Fuel Retailer Choice Act</w:t>
      </w:r>
    </w:p>
    <w:p w14:paraId="5D4F0BE6" w14:textId="77777777" w:rsidR="003E6D1D" w:rsidRPr="001675EF" w:rsidRDefault="00401D2E" w:rsidP="009A66AD">
      <w:pPr>
        <w:shd w:val="clear" w:color="auto" w:fill="FFFFFF"/>
        <w:spacing w:after="225" w:line="240" w:lineRule="auto"/>
        <w:contextualSpacing/>
        <w:rPr>
          <w:rFonts w:ascii="Aptos" w:eastAsia="Times New Roman" w:hAnsi="Aptos" w:cstheme="minorHAnsi"/>
          <w:color w:val="464646"/>
        </w:rPr>
      </w:pPr>
      <w:r w:rsidRPr="001675EF">
        <w:rPr>
          <w:rFonts w:ascii="Aptos" w:eastAsia="Times New Roman" w:hAnsi="Aptos" w:cstheme="minorHAnsi"/>
          <w:color w:val="464646"/>
        </w:rPr>
        <w:t xml:space="preserve">The EPA granted a petition from eight Midwest governors to eliminate the RVP waiver for E10, enabling year-round sales of E15 but creating a separate fuel market in those states starting summer 2025. EMA has expressed concern that the creation of a “boutique fuel” could disrupt gasoline supply, increase costs, and reduce fuel fungibility, potentially raising prices for consumers. A study estimated the regional fuel change would cost $500–$800 million, prompting EPA to delay implementation by one year. To avoid these impacts, EMA </w:t>
      </w:r>
      <w:r w:rsidR="00111B2A" w:rsidRPr="001675EF">
        <w:rPr>
          <w:rFonts w:ascii="Aptos" w:eastAsia="Times New Roman" w:hAnsi="Aptos" w:cstheme="minorHAnsi"/>
          <w:color w:val="464646"/>
        </w:rPr>
        <w:t>does not object to</w:t>
      </w:r>
      <w:r w:rsidRPr="001675EF">
        <w:rPr>
          <w:rFonts w:ascii="Aptos" w:eastAsia="Times New Roman" w:hAnsi="Aptos" w:cstheme="minorHAnsi"/>
          <w:color w:val="464646"/>
        </w:rPr>
        <w:t xml:space="preserve"> the “Nationwide Consumer and Fuel Retailer Choice Act” that would allow year-round, nationwide E15 sales without seasonal restrictions.</w:t>
      </w:r>
    </w:p>
    <w:p w14:paraId="3C886500" w14:textId="77777777" w:rsidR="003E6D1D" w:rsidRPr="001675EF" w:rsidRDefault="003E6D1D" w:rsidP="009A66AD">
      <w:pPr>
        <w:shd w:val="clear" w:color="auto" w:fill="FFFFFF"/>
        <w:spacing w:after="225" w:line="240" w:lineRule="auto"/>
        <w:contextualSpacing/>
        <w:rPr>
          <w:rFonts w:ascii="Aptos" w:eastAsia="Times New Roman" w:hAnsi="Aptos" w:cstheme="minorHAnsi"/>
          <w:color w:val="464646"/>
        </w:rPr>
      </w:pPr>
    </w:p>
    <w:p w14:paraId="579780CC" w14:textId="77777777" w:rsidR="00732153" w:rsidRPr="001675EF" w:rsidRDefault="00401D2E" w:rsidP="00A54D09">
      <w:pPr>
        <w:shd w:val="clear" w:color="auto" w:fill="FFFFFF"/>
        <w:spacing w:after="225" w:line="240" w:lineRule="auto"/>
        <w:contextualSpacing/>
        <w:rPr>
          <w:rFonts w:ascii="Aptos" w:eastAsia="Times New Roman" w:hAnsi="Aptos" w:cstheme="minorHAnsi"/>
          <w:color w:val="464646"/>
        </w:rPr>
      </w:pPr>
      <w:r w:rsidRPr="001675EF">
        <w:rPr>
          <w:rFonts w:ascii="Aptos" w:eastAsia="Times New Roman" w:hAnsi="Aptos" w:cstheme="minorHAnsi"/>
          <w:b/>
          <w:bCs/>
          <w:color w:val="0070C0"/>
        </w:rPr>
        <w:t>F</w:t>
      </w:r>
      <w:r w:rsidR="005D2BA7" w:rsidRPr="001675EF">
        <w:rPr>
          <w:rFonts w:ascii="Aptos" w:eastAsia="Times New Roman" w:hAnsi="Aptos" w:cstheme="minorHAnsi"/>
          <w:b/>
          <w:bCs/>
          <w:color w:val="0070C0"/>
        </w:rPr>
        <w:t>und System and Dispenser E15 Compati</w:t>
      </w:r>
      <w:r w:rsidR="00C212D0" w:rsidRPr="001675EF">
        <w:rPr>
          <w:rFonts w:ascii="Aptos" w:eastAsia="Times New Roman" w:hAnsi="Aptos" w:cstheme="minorHAnsi"/>
          <w:b/>
          <w:bCs/>
          <w:color w:val="0070C0"/>
        </w:rPr>
        <w:t>bilit</w:t>
      </w:r>
      <w:r w:rsidR="000D4021" w:rsidRPr="001675EF">
        <w:rPr>
          <w:rFonts w:ascii="Aptos" w:eastAsia="Times New Roman" w:hAnsi="Aptos" w:cstheme="minorHAnsi"/>
          <w:b/>
          <w:bCs/>
          <w:color w:val="0070C0"/>
        </w:rPr>
        <w:t>y through HBIPP</w:t>
      </w:r>
    </w:p>
    <w:p w14:paraId="6A34FD1B" w14:textId="08949E07" w:rsidR="0099595A" w:rsidRPr="001675EF" w:rsidRDefault="00401D2E" w:rsidP="0099595A">
      <w:pPr>
        <w:shd w:val="clear" w:color="auto" w:fill="FFFFFF"/>
        <w:spacing w:after="225" w:line="240" w:lineRule="auto"/>
        <w:contextualSpacing/>
        <w:rPr>
          <w:rFonts w:ascii="Aptos" w:eastAsia="Times New Roman" w:hAnsi="Aptos" w:cstheme="minorHAnsi"/>
          <w:color w:val="464646"/>
        </w:rPr>
      </w:pPr>
      <w:r w:rsidRPr="001675EF">
        <w:rPr>
          <w:rFonts w:ascii="Aptos" w:eastAsia="Times New Roman" w:hAnsi="Aptos" w:cstheme="minorHAnsi"/>
          <w:color w:val="464646"/>
        </w:rPr>
        <w:t xml:space="preserve">To ensure underground storage tank (UST) systems and dispensers are compatible with higher ethanol blends (E15), Congress needs to appropriate </w:t>
      </w:r>
      <w:r w:rsidR="00E42D3C" w:rsidRPr="001675EF">
        <w:rPr>
          <w:rFonts w:ascii="Aptos" w:eastAsia="Times New Roman" w:hAnsi="Aptos" w:cstheme="minorHAnsi"/>
          <w:color w:val="464646"/>
        </w:rPr>
        <w:t xml:space="preserve">at least </w:t>
      </w:r>
      <w:r w:rsidRPr="001675EF">
        <w:rPr>
          <w:rFonts w:ascii="Aptos" w:eastAsia="Times New Roman" w:hAnsi="Aptos" w:cstheme="minorHAnsi"/>
          <w:color w:val="464646"/>
        </w:rPr>
        <w:t>an additional $500 million for small</w:t>
      </w:r>
      <w:r w:rsidR="00B43109" w:rsidRPr="001675EF">
        <w:rPr>
          <w:rFonts w:ascii="Aptos" w:eastAsia="Times New Roman" w:hAnsi="Aptos" w:cstheme="minorHAnsi"/>
          <w:color w:val="464646"/>
        </w:rPr>
        <w:t>-</w:t>
      </w:r>
      <w:r w:rsidRPr="001675EF">
        <w:rPr>
          <w:rFonts w:ascii="Aptos" w:eastAsia="Times New Roman" w:hAnsi="Aptos" w:cstheme="minorHAnsi"/>
          <w:color w:val="464646"/>
        </w:rPr>
        <w:t xml:space="preserve"> to medium</w:t>
      </w:r>
      <w:r w:rsidR="00B43109" w:rsidRPr="001675EF">
        <w:rPr>
          <w:rFonts w:ascii="Aptos" w:eastAsia="Times New Roman" w:hAnsi="Aptos" w:cstheme="minorHAnsi"/>
          <w:color w:val="464646"/>
        </w:rPr>
        <w:t>-</w:t>
      </w:r>
      <w:r w:rsidRPr="001675EF">
        <w:rPr>
          <w:rFonts w:ascii="Aptos" w:eastAsia="Times New Roman" w:hAnsi="Aptos" w:cstheme="minorHAnsi"/>
          <w:color w:val="464646"/>
        </w:rPr>
        <w:t xml:space="preserve">sized </w:t>
      </w:r>
      <w:r w:rsidR="00E42D3C" w:rsidRPr="001675EF">
        <w:rPr>
          <w:rFonts w:ascii="Aptos" w:eastAsia="Times New Roman" w:hAnsi="Aptos" w:cstheme="minorHAnsi"/>
          <w:color w:val="464646"/>
        </w:rPr>
        <w:t xml:space="preserve">energy marketers </w:t>
      </w:r>
      <w:r w:rsidRPr="001675EF">
        <w:rPr>
          <w:rFonts w:ascii="Aptos" w:eastAsia="Times New Roman" w:hAnsi="Aptos" w:cstheme="minorHAnsi"/>
          <w:color w:val="464646"/>
        </w:rPr>
        <w:t xml:space="preserve">to make necessary upgrades.  </w:t>
      </w:r>
    </w:p>
    <w:p w14:paraId="0DDEDD56" w14:textId="77777777" w:rsidR="00772AEB" w:rsidRPr="001675EF" w:rsidRDefault="00772AEB" w:rsidP="0099595A">
      <w:pPr>
        <w:shd w:val="clear" w:color="auto" w:fill="FFFFFF"/>
        <w:spacing w:after="225" w:line="240" w:lineRule="auto"/>
        <w:contextualSpacing/>
        <w:rPr>
          <w:rFonts w:ascii="Aptos" w:eastAsia="Times New Roman" w:hAnsi="Aptos" w:cstheme="minorHAnsi"/>
          <w:color w:val="464646"/>
        </w:rPr>
      </w:pPr>
    </w:p>
    <w:p w14:paraId="39DDEEA1" w14:textId="77777777" w:rsidR="0099595A" w:rsidRPr="001675EF" w:rsidRDefault="00401D2E" w:rsidP="0099595A">
      <w:pPr>
        <w:shd w:val="clear" w:color="auto" w:fill="FFFFFF"/>
        <w:spacing w:after="225" w:line="240" w:lineRule="auto"/>
        <w:contextualSpacing/>
        <w:rPr>
          <w:rFonts w:ascii="Aptos" w:eastAsia="Times New Roman" w:hAnsi="Aptos" w:cstheme="minorHAnsi"/>
          <w:color w:val="464646"/>
        </w:rPr>
      </w:pPr>
      <w:r w:rsidRPr="001675EF">
        <w:rPr>
          <w:rFonts w:ascii="Aptos" w:eastAsia="Times New Roman" w:hAnsi="Aptos" w:cstheme="minorHAnsi"/>
          <w:color w:val="464646"/>
        </w:rPr>
        <w:t xml:space="preserve">In October 2024, Senators Joni Ernst (R-IA) and Amy Klobuchar (D-MN) sent a letter to the USDA requesting additional funding through the Commodity Credit Corporation (CCC) to extend the Higher Blend Infrastructure Incentive Program (HBIIP). This program helps retail store owners purchase the infrastructure necessary to provide </w:t>
      </w:r>
      <w:r w:rsidR="008150FD" w:rsidRPr="001675EF">
        <w:rPr>
          <w:rFonts w:ascii="Aptos" w:eastAsia="Times New Roman" w:hAnsi="Aptos" w:cstheme="minorHAnsi"/>
          <w:color w:val="464646"/>
        </w:rPr>
        <w:t>E</w:t>
      </w:r>
      <w:r w:rsidRPr="001675EF">
        <w:rPr>
          <w:rFonts w:ascii="Aptos" w:eastAsia="Times New Roman" w:hAnsi="Aptos" w:cstheme="minorHAnsi"/>
          <w:color w:val="464646"/>
        </w:rPr>
        <w:t xml:space="preserve">10 and </w:t>
      </w:r>
      <w:r w:rsidR="008150FD" w:rsidRPr="001675EF">
        <w:rPr>
          <w:rFonts w:ascii="Aptos" w:eastAsia="Times New Roman" w:hAnsi="Aptos" w:cstheme="minorHAnsi"/>
          <w:color w:val="464646"/>
        </w:rPr>
        <w:t>B</w:t>
      </w:r>
      <w:r w:rsidRPr="001675EF">
        <w:rPr>
          <w:rFonts w:ascii="Aptos" w:eastAsia="Times New Roman" w:hAnsi="Aptos" w:cstheme="minorHAnsi"/>
          <w:color w:val="464646"/>
        </w:rPr>
        <w:t xml:space="preserve">20 plus blends at the pump and </w:t>
      </w:r>
      <w:r w:rsidR="008150FD" w:rsidRPr="001675EF">
        <w:rPr>
          <w:rFonts w:ascii="Aptos" w:eastAsia="Times New Roman" w:hAnsi="Aptos" w:cstheme="minorHAnsi"/>
          <w:color w:val="464646"/>
        </w:rPr>
        <w:t>B</w:t>
      </w:r>
      <w:r w:rsidRPr="001675EF">
        <w:rPr>
          <w:rFonts w:ascii="Aptos" w:eastAsia="Times New Roman" w:hAnsi="Aptos" w:cstheme="minorHAnsi"/>
          <w:color w:val="464646"/>
        </w:rPr>
        <w:t xml:space="preserve">20 plus blends for heating fuel distribution facilities. HBIIP grants support transportation fueling, fuel distribution, and home heating oil distribution facilities, lowering out-of-pocket costs for businesses to install or upgrade fuel dispensers, storage tanks and systems, and other related equipment.  </w:t>
      </w:r>
    </w:p>
    <w:p w14:paraId="12186DC8" w14:textId="77777777" w:rsidR="0099595A" w:rsidRPr="001675EF" w:rsidRDefault="0099595A" w:rsidP="0099595A">
      <w:pPr>
        <w:shd w:val="clear" w:color="auto" w:fill="FFFFFF"/>
        <w:spacing w:after="225" w:line="240" w:lineRule="auto"/>
        <w:contextualSpacing/>
        <w:rPr>
          <w:rFonts w:ascii="Aptos" w:eastAsia="Times New Roman" w:hAnsi="Aptos" w:cstheme="minorHAnsi"/>
          <w:color w:val="464646"/>
        </w:rPr>
      </w:pPr>
    </w:p>
    <w:p w14:paraId="4E385C96" w14:textId="77777777" w:rsidR="0099595A" w:rsidRPr="001675EF" w:rsidRDefault="00401D2E" w:rsidP="0099595A">
      <w:pPr>
        <w:shd w:val="clear" w:color="auto" w:fill="FFFFFF"/>
        <w:spacing w:after="225" w:line="240" w:lineRule="auto"/>
        <w:contextualSpacing/>
        <w:rPr>
          <w:rFonts w:ascii="Aptos" w:eastAsia="Times New Roman" w:hAnsi="Aptos" w:cstheme="minorHAnsi"/>
          <w:color w:val="464646"/>
        </w:rPr>
      </w:pPr>
      <w:r w:rsidRPr="001675EF">
        <w:rPr>
          <w:rFonts w:ascii="Aptos" w:eastAsia="Times New Roman" w:hAnsi="Aptos" w:cstheme="minorHAnsi"/>
          <w:color w:val="464646"/>
        </w:rPr>
        <w:t xml:space="preserve">Unfortunately, the HBIIP funding of $500 million is insufficient to support the small business energy marketers who must make compatibility upgrades.  Further, small businesses must invest significant resources to pursue HBIIP funding. The cost to hire a grant writer ranges from $5,000 - $10,000 and applicants are dedicating an average of 80+ work hours completing these applications. Small and medium sized businesses do not have the time or resources to compete with large corporations for USDA grants. By increasing HBIIP funding and including a preference that a portion of the funds be for the smallest businesses, energy marketers across the country can make </w:t>
      </w:r>
      <w:r w:rsidR="003D2220" w:rsidRPr="001675EF">
        <w:rPr>
          <w:rFonts w:ascii="Aptos" w:eastAsia="Times New Roman" w:hAnsi="Aptos" w:cstheme="minorHAnsi"/>
          <w:color w:val="464646"/>
        </w:rPr>
        <w:t xml:space="preserve">the </w:t>
      </w:r>
      <w:r w:rsidRPr="001675EF">
        <w:rPr>
          <w:rFonts w:ascii="Aptos" w:eastAsia="Times New Roman" w:hAnsi="Aptos" w:cstheme="minorHAnsi"/>
          <w:color w:val="464646"/>
        </w:rPr>
        <w:t xml:space="preserve">necessary infrastructure upgrades.  </w:t>
      </w:r>
    </w:p>
    <w:p w14:paraId="6344B28B" w14:textId="77777777" w:rsidR="00D21045" w:rsidRPr="001675EF" w:rsidRDefault="00D21045" w:rsidP="0099595A">
      <w:pPr>
        <w:shd w:val="clear" w:color="auto" w:fill="FFFFFF"/>
        <w:spacing w:after="225" w:line="240" w:lineRule="auto"/>
        <w:contextualSpacing/>
        <w:rPr>
          <w:rFonts w:ascii="Aptos" w:eastAsia="Times New Roman" w:hAnsi="Aptos" w:cstheme="minorHAnsi"/>
          <w:color w:val="464646"/>
        </w:rPr>
      </w:pPr>
    </w:p>
    <w:p w14:paraId="5D826658" w14:textId="77777777" w:rsidR="00D21045" w:rsidRPr="001675EF" w:rsidRDefault="00401D2E" w:rsidP="00D21045">
      <w:pPr>
        <w:shd w:val="clear" w:color="auto" w:fill="FFFFFF"/>
        <w:spacing w:after="225" w:line="240" w:lineRule="auto"/>
        <w:contextualSpacing/>
        <w:rPr>
          <w:rFonts w:ascii="Aptos" w:eastAsia="Times New Roman" w:hAnsi="Aptos" w:cstheme="minorHAnsi"/>
          <w:i/>
          <w:iCs/>
          <w:color w:val="464646"/>
        </w:rPr>
      </w:pPr>
      <w:r w:rsidRPr="001675EF">
        <w:rPr>
          <w:rFonts w:ascii="Aptos" w:eastAsia="Times New Roman" w:hAnsi="Aptos" w:cstheme="minorHAnsi"/>
          <w:b/>
          <w:bCs/>
          <w:color w:val="0070C0"/>
        </w:rPr>
        <w:t>“The Ask”</w:t>
      </w:r>
      <w:r w:rsidRPr="001675EF">
        <w:rPr>
          <w:rFonts w:ascii="Aptos" w:eastAsia="Times New Roman" w:hAnsi="Aptos" w:cstheme="minorHAnsi"/>
          <w:b/>
          <w:bCs/>
          <w:color w:val="464646"/>
        </w:rPr>
        <w:t xml:space="preserve"> </w:t>
      </w:r>
      <w:r w:rsidRPr="001675EF">
        <w:rPr>
          <w:rFonts w:ascii="Aptos" w:eastAsia="Times New Roman" w:hAnsi="Aptos" w:cstheme="minorHAnsi"/>
          <w:i/>
          <w:iCs/>
          <w:color w:val="464646"/>
        </w:rPr>
        <w:t>(Committees: House &amp; Senate Appropriations, House Energy and Commerce; Senate Environment and Public Works; House and Senate Agriculture; All lawmakers)</w:t>
      </w:r>
    </w:p>
    <w:p w14:paraId="6E9D34BA" w14:textId="77777777" w:rsidR="00D21045" w:rsidRPr="001675EF" w:rsidRDefault="00D21045" w:rsidP="00D21045">
      <w:pPr>
        <w:shd w:val="clear" w:color="auto" w:fill="FFFFFF"/>
        <w:spacing w:after="225" w:line="240" w:lineRule="auto"/>
        <w:contextualSpacing/>
        <w:rPr>
          <w:rFonts w:ascii="Aptos" w:eastAsia="Times New Roman" w:hAnsi="Aptos" w:cstheme="minorHAnsi"/>
          <w:color w:val="464646"/>
        </w:rPr>
      </w:pPr>
    </w:p>
    <w:p w14:paraId="1B65E2F0" w14:textId="77777777" w:rsidR="001675EF" w:rsidRPr="001675EF" w:rsidRDefault="00401D2E" w:rsidP="001578C0">
      <w:pPr>
        <w:numPr>
          <w:ilvl w:val="0"/>
          <w:numId w:val="3"/>
        </w:numPr>
        <w:shd w:val="clear" w:color="auto" w:fill="FFFFFF"/>
        <w:spacing w:after="225" w:line="240" w:lineRule="auto"/>
        <w:contextualSpacing/>
        <w:rPr>
          <w:rFonts w:ascii="Aptos" w:eastAsia="Times New Roman" w:hAnsi="Aptos" w:cstheme="minorHAnsi"/>
          <w:color w:val="464646"/>
        </w:rPr>
      </w:pPr>
      <w:r w:rsidRPr="001675EF">
        <w:rPr>
          <w:rFonts w:ascii="Aptos" w:eastAsia="Times New Roman" w:hAnsi="Aptos" w:cstheme="minorHAnsi"/>
          <w:color w:val="464646"/>
        </w:rPr>
        <w:t xml:space="preserve">Support the CRA </w:t>
      </w:r>
      <w:r w:rsidR="00B43109" w:rsidRPr="001675EF">
        <w:rPr>
          <w:rFonts w:ascii="Aptos" w:eastAsia="Times New Roman" w:hAnsi="Aptos" w:cstheme="minorHAnsi"/>
          <w:color w:val="464646"/>
        </w:rPr>
        <w:t xml:space="preserve">joint </w:t>
      </w:r>
      <w:r w:rsidRPr="001675EF">
        <w:rPr>
          <w:rFonts w:ascii="Aptos" w:eastAsia="Times New Roman" w:hAnsi="Aptos" w:cstheme="minorHAnsi"/>
          <w:color w:val="464646"/>
        </w:rPr>
        <w:t>resolutions of disapproval for the California waivers and restore vehicle choice for all Americans.</w:t>
      </w:r>
    </w:p>
    <w:p w14:paraId="19631049" w14:textId="5D56F524" w:rsidR="00C175F4" w:rsidRDefault="00401D2E" w:rsidP="001578C0">
      <w:pPr>
        <w:numPr>
          <w:ilvl w:val="0"/>
          <w:numId w:val="3"/>
        </w:numPr>
        <w:shd w:val="clear" w:color="auto" w:fill="FFFFFF"/>
        <w:spacing w:after="225" w:line="240" w:lineRule="auto"/>
        <w:contextualSpacing/>
        <w:rPr>
          <w:rFonts w:ascii="Aptos" w:eastAsia="Times New Roman" w:hAnsi="Aptos" w:cstheme="minorHAnsi"/>
          <w:color w:val="464646"/>
        </w:rPr>
      </w:pPr>
      <w:r w:rsidRPr="001675EF">
        <w:rPr>
          <w:rFonts w:ascii="Aptos" w:eastAsia="Times New Roman" w:hAnsi="Aptos" w:cstheme="minorHAnsi"/>
          <w:color w:val="464646"/>
        </w:rPr>
        <w:t xml:space="preserve">Support </w:t>
      </w:r>
      <w:r w:rsidR="001675EF" w:rsidRPr="001675EF">
        <w:rPr>
          <w:rFonts w:ascii="Aptos" w:eastAsia="Times New Roman" w:hAnsi="Aptos" w:cstheme="minorHAnsi"/>
          <w:color w:val="464646"/>
        </w:rPr>
        <w:t xml:space="preserve">Fair Sharing of Highways and Roads for Electric Vehicles Act of 2025 or the “Fair SHARE Act of 2025,” (S. 536) </w:t>
      </w:r>
      <w:r w:rsidR="00E44BB6">
        <w:rPr>
          <w:rFonts w:ascii="Aptos" w:eastAsia="Times New Roman" w:hAnsi="Aptos" w:cstheme="minorHAnsi"/>
          <w:color w:val="464646"/>
        </w:rPr>
        <w:t>(H.R. 1</w:t>
      </w:r>
      <w:r w:rsidR="00CC7D52">
        <w:rPr>
          <w:rFonts w:ascii="Aptos" w:eastAsia="Times New Roman" w:hAnsi="Aptos" w:cstheme="minorHAnsi"/>
          <w:color w:val="464646"/>
        </w:rPr>
        <w:t>253</w:t>
      </w:r>
      <w:r w:rsidR="00E44BB6">
        <w:rPr>
          <w:rFonts w:ascii="Aptos" w:eastAsia="Times New Roman" w:hAnsi="Aptos" w:cstheme="minorHAnsi"/>
          <w:color w:val="464646"/>
        </w:rPr>
        <w:t>)</w:t>
      </w:r>
      <w:r w:rsidR="001420FC">
        <w:rPr>
          <w:rFonts w:ascii="Aptos" w:eastAsia="Times New Roman" w:hAnsi="Aptos" w:cstheme="minorHAnsi"/>
          <w:color w:val="464646"/>
        </w:rPr>
        <w:t>.</w:t>
      </w:r>
    </w:p>
    <w:p w14:paraId="60E591C0" w14:textId="77777777" w:rsidR="006D62C7" w:rsidRDefault="006D62C7" w:rsidP="006D62C7">
      <w:pPr>
        <w:numPr>
          <w:ilvl w:val="0"/>
          <w:numId w:val="3"/>
        </w:numPr>
        <w:shd w:val="clear" w:color="auto" w:fill="FFFFFF"/>
        <w:spacing w:after="225" w:line="240" w:lineRule="auto"/>
        <w:contextualSpacing/>
        <w:rPr>
          <w:rFonts w:ascii="Aptos" w:eastAsia="Times New Roman" w:hAnsi="Aptos" w:cstheme="minorHAnsi"/>
          <w:color w:val="464646"/>
        </w:rPr>
      </w:pPr>
      <w:r w:rsidRPr="006D62C7">
        <w:rPr>
          <w:rFonts w:ascii="Aptos" w:eastAsia="Times New Roman" w:hAnsi="Aptos" w:cstheme="minorHAnsi"/>
          <w:color w:val="464646"/>
        </w:rPr>
        <w:t>The Eliminating Lavish Incentives to Electric (ELITE) Vehicles Act (S. 541) (H.R. 1367)</w:t>
      </w:r>
      <w:r>
        <w:rPr>
          <w:rFonts w:ascii="Aptos" w:eastAsia="Times New Roman" w:hAnsi="Aptos" w:cstheme="minorHAnsi"/>
          <w:color w:val="464646"/>
        </w:rPr>
        <w:t>.</w:t>
      </w:r>
    </w:p>
    <w:p w14:paraId="6B0DC420" w14:textId="12339B9D" w:rsidR="00D21045" w:rsidRPr="006D62C7" w:rsidRDefault="00B43109" w:rsidP="006D62C7">
      <w:pPr>
        <w:numPr>
          <w:ilvl w:val="0"/>
          <w:numId w:val="3"/>
        </w:numPr>
        <w:shd w:val="clear" w:color="auto" w:fill="FFFFFF"/>
        <w:spacing w:after="225" w:line="240" w:lineRule="auto"/>
        <w:contextualSpacing/>
        <w:rPr>
          <w:rFonts w:ascii="Aptos" w:eastAsia="Times New Roman" w:hAnsi="Aptos" w:cstheme="minorHAnsi"/>
          <w:color w:val="464646"/>
        </w:rPr>
      </w:pPr>
      <w:r w:rsidRPr="006D62C7">
        <w:rPr>
          <w:rFonts w:ascii="Aptos" w:eastAsia="Times New Roman" w:hAnsi="Aptos" w:cstheme="minorHAnsi"/>
          <w:color w:val="464646"/>
        </w:rPr>
        <w:t>S</w:t>
      </w:r>
      <w:r w:rsidR="00401D2E" w:rsidRPr="006D62C7">
        <w:rPr>
          <w:rFonts w:ascii="Aptos" w:eastAsia="Times New Roman" w:hAnsi="Aptos" w:cstheme="minorHAnsi"/>
          <w:color w:val="464646"/>
        </w:rPr>
        <w:t>upport HBIIP funding through the Commodity Credit Corporation</w:t>
      </w:r>
      <w:r w:rsidR="007527EA" w:rsidRPr="006D62C7">
        <w:rPr>
          <w:rFonts w:ascii="Aptos" w:eastAsia="Times New Roman" w:hAnsi="Aptos" w:cstheme="minorHAnsi"/>
          <w:color w:val="464646"/>
        </w:rPr>
        <w:t xml:space="preserve"> (CCC)</w:t>
      </w:r>
      <w:r w:rsidR="00401D2E" w:rsidRPr="006D62C7">
        <w:rPr>
          <w:rFonts w:ascii="Aptos" w:eastAsia="Times New Roman" w:hAnsi="Aptos" w:cstheme="minorHAnsi"/>
          <w:color w:val="464646"/>
        </w:rPr>
        <w:t>.</w:t>
      </w:r>
    </w:p>
    <w:p w14:paraId="0A29E588" w14:textId="6BACACAF" w:rsidR="00F66127" w:rsidRPr="001675EF" w:rsidRDefault="00B43109" w:rsidP="001578C0">
      <w:pPr>
        <w:numPr>
          <w:ilvl w:val="0"/>
          <w:numId w:val="3"/>
        </w:numPr>
        <w:shd w:val="clear" w:color="auto" w:fill="FFFFFF"/>
        <w:spacing w:after="225" w:line="240" w:lineRule="auto"/>
        <w:contextualSpacing/>
        <w:rPr>
          <w:rFonts w:ascii="Aptos" w:eastAsia="Times New Roman" w:hAnsi="Aptos" w:cstheme="minorHAnsi"/>
          <w:color w:val="464646"/>
        </w:rPr>
      </w:pPr>
      <w:r w:rsidRPr="001675EF">
        <w:rPr>
          <w:rFonts w:ascii="Aptos" w:eastAsia="Times New Roman" w:hAnsi="Aptos" w:cstheme="minorHAnsi"/>
          <w:color w:val="464646"/>
        </w:rPr>
        <w:t>A</w:t>
      </w:r>
      <w:r w:rsidR="00401D2E" w:rsidRPr="001675EF">
        <w:rPr>
          <w:rFonts w:ascii="Aptos" w:eastAsia="Times New Roman" w:hAnsi="Aptos" w:cstheme="minorHAnsi"/>
          <w:color w:val="464646"/>
        </w:rPr>
        <w:t xml:space="preserve">ppropriate an additional $500 million </w:t>
      </w:r>
      <w:r w:rsidRPr="001675EF">
        <w:rPr>
          <w:rFonts w:ascii="Aptos" w:eastAsia="Times New Roman" w:hAnsi="Aptos" w:cstheme="minorHAnsi"/>
          <w:color w:val="464646"/>
        </w:rPr>
        <w:t xml:space="preserve">under the CCC </w:t>
      </w:r>
      <w:r w:rsidR="00401D2E" w:rsidRPr="001675EF">
        <w:rPr>
          <w:rFonts w:ascii="Aptos" w:eastAsia="Times New Roman" w:hAnsi="Aptos" w:cstheme="minorHAnsi"/>
          <w:color w:val="464646"/>
        </w:rPr>
        <w:t>for the HBIPP program to support small to medium sized companies who need to make upgrades to ensure underground storage tank (UST) system compatibility.</w:t>
      </w:r>
    </w:p>
    <w:p w14:paraId="04574716" w14:textId="77777777" w:rsidR="00F66127" w:rsidRPr="001675EF" w:rsidRDefault="00401D2E" w:rsidP="00F66127">
      <w:pPr>
        <w:shd w:val="clear" w:color="auto" w:fill="FFFFFF"/>
        <w:spacing w:after="0" w:line="240" w:lineRule="auto"/>
        <w:contextualSpacing/>
        <w:rPr>
          <w:rFonts w:ascii="Aptos" w:eastAsia="Times New Roman" w:hAnsi="Aptos" w:cstheme="minorHAnsi"/>
          <w:color w:val="464646"/>
        </w:rPr>
      </w:pPr>
      <w:r w:rsidRPr="001675EF">
        <w:rPr>
          <w:rFonts w:ascii="Aptos" w:eastAsia="Times New Roman" w:hAnsi="Aptos" w:cstheme="minorHAnsi"/>
          <w:color w:val="464646"/>
        </w:rPr>
        <w:t>_____________________________________________________________________________________</w:t>
      </w:r>
    </w:p>
    <w:p w14:paraId="234EBEB5" w14:textId="77777777" w:rsidR="000D3DD4" w:rsidRPr="001675EF" w:rsidRDefault="00401D2E" w:rsidP="006F5194">
      <w:pPr>
        <w:shd w:val="clear" w:color="auto" w:fill="FFFFFF"/>
        <w:spacing w:after="0" w:line="240" w:lineRule="auto"/>
        <w:contextualSpacing/>
        <w:rPr>
          <w:rFonts w:ascii="Aptos" w:eastAsia="Times New Roman" w:hAnsi="Aptos" w:cstheme="minorHAnsi"/>
          <w:color w:val="0070C0"/>
        </w:rPr>
      </w:pPr>
      <w:bookmarkStart w:id="1" w:name="_Hlk195183344"/>
      <w:r w:rsidRPr="001675EF">
        <w:rPr>
          <w:rFonts w:ascii="Aptos" w:eastAsia="Times New Roman" w:hAnsi="Aptos" w:cstheme="minorHAnsi"/>
          <w:b/>
          <w:bCs/>
          <w:color w:val="0070C0"/>
        </w:rPr>
        <w:t xml:space="preserve">EMA Staff </w:t>
      </w:r>
      <w:bookmarkEnd w:id="1"/>
      <w:r w:rsidRPr="001675EF">
        <w:rPr>
          <w:rFonts w:ascii="Aptos" w:eastAsia="Times New Roman" w:hAnsi="Aptos" w:cstheme="minorHAnsi"/>
          <w:b/>
          <w:bCs/>
          <w:color w:val="0070C0"/>
        </w:rPr>
        <w:t>Contacts</w:t>
      </w:r>
      <w:r w:rsidRPr="001675EF">
        <w:rPr>
          <w:rFonts w:ascii="Aptos" w:eastAsia="Times New Roman" w:hAnsi="Aptos" w:cstheme="minorHAnsi"/>
          <w:color w:val="0070C0"/>
        </w:rPr>
        <w:t xml:space="preserve">:  </w:t>
      </w:r>
    </w:p>
    <w:p w14:paraId="1EF6E392" w14:textId="77777777" w:rsidR="00D40EED" w:rsidRPr="001675EF" w:rsidRDefault="00401D2E" w:rsidP="006F5194">
      <w:pPr>
        <w:shd w:val="clear" w:color="auto" w:fill="FFFFFF"/>
        <w:spacing w:after="0" w:line="240" w:lineRule="auto"/>
        <w:contextualSpacing/>
        <w:rPr>
          <w:rFonts w:ascii="Aptos" w:eastAsia="Times New Roman" w:hAnsi="Aptos" w:cstheme="minorHAnsi"/>
        </w:rPr>
      </w:pPr>
      <w:r w:rsidRPr="001675EF">
        <w:rPr>
          <w:rFonts w:ascii="Aptos" w:eastAsia="Times New Roman" w:hAnsi="Aptos" w:cstheme="minorHAnsi"/>
          <w:color w:val="464646"/>
        </w:rPr>
        <w:t xml:space="preserve">Rob Underwood, </w:t>
      </w:r>
      <w:hyperlink r:id="rId9" w:history="1">
        <w:r w:rsidR="00D40EED" w:rsidRPr="001675EF">
          <w:rPr>
            <w:rStyle w:val="Hyperlink"/>
            <w:rFonts w:ascii="Aptos" w:eastAsia="Times New Roman" w:hAnsi="Aptos" w:cstheme="minorHAnsi"/>
          </w:rPr>
          <w:t>runderwood@emamerica.org</w:t>
        </w:r>
      </w:hyperlink>
      <w:r w:rsidR="009460EE" w:rsidRPr="001675EF">
        <w:rPr>
          <w:rStyle w:val="Hyperlink"/>
          <w:rFonts w:ascii="Aptos" w:eastAsia="Times New Roman" w:hAnsi="Aptos" w:cstheme="minorHAnsi"/>
          <w:color w:val="auto"/>
          <w:u w:val="none"/>
        </w:rPr>
        <w:t xml:space="preserve">; </w:t>
      </w:r>
      <w:r w:rsidR="009A3F0A" w:rsidRPr="001675EF">
        <w:rPr>
          <w:rFonts w:ascii="Aptos" w:hAnsi="Aptos" w:cstheme="minorHAnsi"/>
          <w:color w:val="464646"/>
        </w:rPr>
        <w:t>Austin Harrison,</w:t>
      </w:r>
      <w:r w:rsidR="009A3F0A" w:rsidRPr="001675EF">
        <w:rPr>
          <w:rStyle w:val="Hyperlink"/>
          <w:rFonts w:ascii="Aptos" w:eastAsia="Times New Roman" w:hAnsi="Aptos" w:cstheme="minorHAnsi"/>
        </w:rPr>
        <w:t xml:space="preserve"> </w:t>
      </w:r>
      <w:hyperlink r:id="rId10" w:history="1">
        <w:r w:rsidR="00D40EED" w:rsidRPr="001675EF">
          <w:rPr>
            <w:rStyle w:val="Hyperlink"/>
            <w:rFonts w:ascii="Aptos" w:eastAsia="Times New Roman" w:hAnsi="Aptos" w:cstheme="minorHAnsi"/>
          </w:rPr>
          <w:t>austin.harrison@squirepb.com</w:t>
        </w:r>
      </w:hyperlink>
    </w:p>
    <w:sectPr w:rsidR="00D40EED" w:rsidRPr="001675EF" w:rsidSect="00111B2A">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E8AFF" w14:textId="77777777" w:rsidR="003F54F7" w:rsidRDefault="003F54F7">
      <w:pPr>
        <w:spacing w:after="0" w:line="240" w:lineRule="auto"/>
      </w:pPr>
      <w:r>
        <w:separator/>
      </w:r>
    </w:p>
  </w:endnote>
  <w:endnote w:type="continuationSeparator" w:id="0">
    <w:p w14:paraId="692A24F4" w14:textId="77777777" w:rsidR="003F54F7" w:rsidRDefault="003F5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imes New Roman (Body CS)">
    <w:altName w:val="Times New Roman"/>
    <w:charset w:val="00"/>
    <w:family w:val="roman"/>
    <w:pitch w:val="default"/>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8F0AE" w14:textId="77777777" w:rsidR="005E2EDE" w:rsidRDefault="005E2E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8AFCB" w14:textId="77777777" w:rsidR="001141A5" w:rsidRDefault="00401D2E">
    <w:pPr>
      <w:pStyle w:val="Footer"/>
    </w:pPr>
    <w:r>
      <w:t>May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54AF9" w14:textId="77777777" w:rsidR="005E2EDE" w:rsidRDefault="005E2E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455C8" w14:textId="77777777" w:rsidR="003F54F7" w:rsidRDefault="003F54F7">
      <w:pPr>
        <w:spacing w:after="0" w:line="240" w:lineRule="auto"/>
      </w:pPr>
      <w:r>
        <w:separator/>
      </w:r>
    </w:p>
  </w:footnote>
  <w:footnote w:type="continuationSeparator" w:id="0">
    <w:p w14:paraId="1B2B68A1" w14:textId="77777777" w:rsidR="003F54F7" w:rsidRDefault="003F54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B65B3" w14:textId="77777777" w:rsidR="005E2EDE" w:rsidRDefault="005E2E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6BE1A" w14:textId="77777777" w:rsidR="005E2EDE" w:rsidRDefault="005E2E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99EFD" w14:textId="77777777" w:rsidR="005E2EDE" w:rsidRDefault="005E2E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328B1"/>
    <w:multiLevelType w:val="hybridMultilevel"/>
    <w:tmpl w:val="B59CBD98"/>
    <w:lvl w:ilvl="0" w:tplc="DEEE0B06">
      <w:start w:val="1"/>
      <w:numFmt w:val="bullet"/>
      <w:lvlText w:val=""/>
      <w:lvlJc w:val="left"/>
      <w:pPr>
        <w:ind w:left="720" w:hanging="360"/>
      </w:pPr>
      <w:rPr>
        <w:rFonts w:ascii="Symbol" w:hAnsi="Symbol" w:hint="default"/>
      </w:rPr>
    </w:lvl>
    <w:lvl w:ilvl="1" w:tplc="51CC6604" w:tentative="1">
      <w:start w:val="1"/>
      <w:numFmt w:val="bullet"/>
      <w:lvlText w:val="o"/>
      <w:lvlJc w:val="left"/>
      <w:pPr>
        <w:ind w:left="1440" w:hanging="360"/>
      </w:pPr>
      <w:rPr>
        <w:rFonts w:ascii="Courier New" w:hAnsi="Courier New" w:cs="Courier New" w:hint="default"/>
      </w:rPr>
    </w:lvl>
    <w:lvl w:ilvl="2" w:tplc="056C3A0A" w:tentative="1">
      <w:start w:val="1"/>
      <w:numFmt w:val="bullet"/>
      <w:lvlText w:val=""/>
      <w:lvlJc w:val="left"/>
      <w:pPr>
        <w:ind w:left="2160" w:hanging="360"/>
      </w:pPr>
      <w:rPr>
        <w:rFonts w:ascii="Wingdings" w:hAnsi="Wingdings" w:hint="default"/>
      </w:rPr>
    </w:lvl>
    <w:lvl w:ilvl="3" w:tplc="F00A2F54" w:tentative="1">
      <w:start w:val="1"/>
      <w:numFmt w:val="bullet"/>
      <w:lvlText w:val=""/>
      <w:lvlJc w:val="left"/>
      <w:pPr>
        <w:ind w:left="2880" w:hanging="360"/>
      </w:pPr>
      <w:rPr>
        <w:rFonts w:ascii="Symbol" w:hAnsi="Symbol" w:hint="default"/>
      </w:rPr>
    </w:lvl>
    <w:lvl w:ilvl="4" w:tplc="36DE40FC" w:tentative="1">
      <w:start w:val="1"/>
      <w:numFmt w:val="bullet"/>
      <w:lvlText w:val="o"/>
      <w:lvlJc w:val="left"/>
      <w:pPr>
        <w:ind w:left="3600" w:hanging="360"/>
      </w:pPr>
      <w:rPr>
        <w:rFonts w:ascii="Courier New" w:hAnsi="Courier New" w:cs="Courier New" w:hint="default"/>
      </w:rPr>
    </w:lvl>
    <w:lvl w:ilvl="5" w:tplc="8996B404" w:tentative="1">
      <w:start w:val="1"/>
      <w:numFmt w:val="bullet"/>
      <w:lvlText w:val=""/>
      <w:lvlJc w:val="left"/>
      <w:pPr>
        <w:ind w:left="4320" w:hanging="360"/>
      </w:pPr>
      <w:rPr>
        <w:rFonts w:ascii="Wingdings" w:hAnsi="Wingdings" w:hint="default"/>
      </w:rPr>
    </w:lvl>
    <w:lvl w:ilvl="6" w:tplc="72CED444" w:tentative="1">
      <w:start w:val="1"/>
      <w:numFmt w:val="bullet"/>
      <w:lvlText w:val=""/>
      <w:lvlJc w:val="left"/>
      <w:pPr>
        <w:ind w:left="5040" w:hanging="360"/>
      </w:pPr>
      <w:rPr>
        <w:rFonts w:ascii="Symbol" w:hAnsi="Symbol" w:hint="default"/>
      </w:rPr>
    </w:lvl>
    <w:lvl w:ilvl="7" w:tplc="F3C0BC8A" w:tentative="1">
      <w:start w:val="1"/>
      <w:numFmt w:val="bullet"/>
      <w:lvlText w:val="o"/>
      <w:lvlJc w:val="left"/>
      <w:pPr>
        <w:ind w:left="5760" w:hanging="360"/>
      </w:pPr>
      <w:rPr>
        <w:rFonts w:ascii="Courier New" w:hAnsi="Courier New" w:cs="Courier New" w:hint="default"/>
      </w:rPr>
    </w:lvl>
    <w:lvl w:ilvl="8" w:tplc="9BE659BE" w:tentative="1">
      <w:start w:val="1"/>
      <w:numFmt w:val="bullet"/>
      <w:lvlText w:val=""/>
      <w:lvlJc w:val="left"/>
      <w:pPr>
        <w:ind w:left="6480" w:hanging="360"/>
      </w:pPr>
      <w:rPr>
        <w:rFonts w:ascii="Wingdings" w:hAnsi="Wingdings" w:hint="default"/>
      </w:rPr>
    </w:lvl>
  </w:abstractNum>
  <w:abstractNum w:abstractNumId="1" w15:restartNumberingAfterBreak="0">
    <w:nsid w:val="0A841673"/>
    <w:multiLevelType w:val="hybridMultilevel"/>
    <w:tmpl w:val="6E1E1858"/>
    <w:lvl w:ilvl="0" w:tplc="C2ACB534">
      <w:start w:val="1"/>
      <w:numFmt w:val="bullet"/>
      <w:lvlText w:val=""/>
      <w:lvlJc w:val="left"/>
      <w:pPr>
        <w:ind w:left="720" w:hanging="360"/>
      </w:pPr>
      <w:rPr>
        <w:rFonts w:ascii="Wingdings 3" w:hAnsi="Wingdings 3" w:hint="default"/>
      </w:rPr>
    </w:lvl>
    <w:lvl w:ilvl="1" w:tplc="F984D3D0" w:tentative="1">
      <w:start w:val="1"/>
      <w:numFmt w:val="bullet"/>
      <w:lvlText w:val="o"/>
      <w:lvlJc w:val="left"/>
      <w:pPr>
        <w:ind w:left="1440" w:hanging="360"/>
      </w:pPr>
      <w:rPr>
        <w:rFonts w:ascii="Courier New" w:hAnsi="Courier New" w:cs="Courier New" w:hint="default"/>
      </w:rPr>
    </w:lvl>
    <w:lvl w:ilvl="2" w:tplc="61D803D2" w:tentative="1">
      <w:start w:val="1"/>
      <w:numFmt w:val="bullet"/>
      <w:lvlText w:val=""/>
      <w:lvlJc w:val="left"/>
      <w:pPr>
        <w:ind w:left="2160" w:hanging="360"/>
      </w:pPr>
      <w:rPr>
        <w:rFonts w:ascii="Wingdings" w:hAnsi="Wingdings" w:hint="default"/>
      </w:rPr>
    </w:lvl>
    <w:lvl w:ilvl="3" w:tplc="D840A24E" w:tentative="1">
      <w:start w:val="1"/>
      <w:numFmt w:val="bullet"/>
      <w:lvlText w:val=""/>
      <w:lvlJc w:val="left"/>
      <w:pPr>
        <w:ind w:left="2880" w:hanging="360"/>
      </w:pPr>
      <w:rPr>
        <w:rFonts w:ascii="Symbol" w:hAnsi="Symbol" w:hint="default"/>
      </w:rPr>
    </w:lvl>
    <w:lvl w:ilvl="4" w:tplc="F7984D86" w:tentative="1">
      <w:start w:val="1"/>
      <w:numFmt w:val="bullet"/>
      <w:lvlText w:val="o"/>
      <w:lvlJc w:val="left"/>
      <w:pPr>
        <w:ind w:left="3600" w:hanging="360"/>
      </w:pPr>
      <w:rPr>
        <w:rFonts w:ascii="Courier New" w:hAnsi="Courier New" w:cs="Courier New" w:hint="default"/>
      </w:rPr>
    </w:lvl>
    <w:lvl w:ilvl="5" w:tplc="7BBEA4C6" w:tentative="1">
      <w:start w:val="1"/>
      <w:numFmt w:val="bullet"/>
      <w:lvlText w:val=""/>
      <w:lvlJc w:val="left"/>
      <w:pPr>
        <w:ind w:left="4320" w:hanging="360"/>
      </w:pPr>
      <w:rPr>
        <w:rFonts w:ascii="Wingdings" w:hAnsi="Wingdings" w:hint="default"/>
      </w:rPr>
    </w:lvl>
    <w:lvl w:ilvl="6" w:tplc="D38C47D8" w:tentative="1">
      <w:start w:val="1"/>
      <w:numFmt w:val="bullet"/>
      <w:lvlText w:val=""/>
      <w:lvlJc w:val="left"/>
      <w:pPr>
        <w:ind w:left="5040" w:hanging="360"/>
      </w:pPr>
      <w:rPr>
        <w:rFonts w:ascii="Symbol" w:hAnsi="Symbol" w:hint="default"/>
      </w:rPr>
    </w:lvl>
    <w:lvl w:ilvl="7" w:tplc="BA3E8354" w:tentative="1">
      <w:start w:val="1"/>
      <w:numFmt w:val="bullet"/>
      <w:lvlText w:val="o"/>
      <w:lvlJc w:val="left"/>
      <w:pPr>
        <w:ind w:left="5760" w:hanging="360"/>
      </w:pPr>
      <w:rPr>
        <w:rFonts w:ascii="Courier New" w:hAnsi="Courier New" w:cs="Courier New" w:hint="default"/>
      </w:rPr>
    </w:lvl>
    <w:lvl w:ilvl="8" w:tplc="BDD2A41E" w:tentative="1">
      <w:start w:val="1"/>
      <w:numFmt w:val="bullet"/>
      <w:lvlText w:val=""/>
      <w:lvlJc w:val="left"/>
      <w:pPr>
        <w:ind w:left="6480" w:hanging="360"/>
      </w:pPr>
      <w:rPr>
        <w:rFonts w:ascii="Wingdings" w:hAnsi="Wingdings" w:hint="default"/>
      </w:rPr>
    </w:lvl>
  </w:abstractNum>
  <w:abstractNum w:abstractNumId="2" w15:restartNumberingAfterBreak="0">
    <w:nsid w:val="4AE85CCB"/>
    <w:multiLevelType w:val="hybridMultilevel"/>
    <w:tmpl w:val="52A4ECDE"/>
    <w:lvl w:ilvl="0" w:tplc="FD7AEFA2">
      <w:start w:val="1"/>
      <w:numFmt w:val="bullet"/>
      <w:lvlText w:val=""/>
      <w:lvlJc w:val="left"/>
      <w:pPr>
        <w:ind w:left="720" w:hanging="360"/>
      </w:pPr>
      <w:rPr>
        <w:rFonts w:ascii="Symbol" w:hAnsi="Symbol" w:hint="default"/>
      </w:rPr>
    </w:lvl>
    <w:lvl w:ilvl="1" w:tplc="D3DE9816" w:tentative="1">
      <w:start w:val="1"/>
      <w:numFmt w:val="bullet"/>
      <w:lvlText w:val="o"/>
      <w:lvlJc w:val="left"/>
      <w:pPr>
        <w:ind w:left="1440" w:hanging="360"/>
      </w:pPr>
      <w:rPr>
        <w:rFonts w:ascii="Courier New" w:hAnsi="Courier New" w:cs="Courier New" w:hint="default"/>
      </w:rPr>
    </w:lvl>
    <w:lvl w:ilvl="2" w:tplc="085CF6F2" w:tentative="1">
      <w:start w:val="1"/>
      <w:numFmt w:val="bullet"/>
      <w:lvlText w:val=""/>
      <w:lvlJc w:val="left"/>
      <w:pPr>
        <w:ind w:left="2160" w:hanging="360"/>
      </w:pPr>
      <w:rPr>
        <w:rFonts w:ascii="Wingdings" w:hAnsi="Wingdings" w:hint="default"/>
      </w:rPr>
    </w:lvl>
    <w:lvl w:ilvl="3" w:tplc="67745198" w:tentative="1">
      <w:start w:val="1"/>
      <w:numFmt w:val="bullet"/>
      <w:lvlText w:val=""/>
      <w:lvlJc w:val="left"/>
      <w:pPr>
        <w:ind w:left="2880" w:hanging="360"/>
      </w:pPr>
      <w:rPr>
        <w:rFonts w:ascii="Symbol" w:hAnsi="Symbol" w:hint="default"/>
      </w:rPr>
    </w:lvl>
    <w:lvl w:ilvl="4" w:tplc="B34AC450" w:tentative="1">
      <w:start w:val="1"/>
      <w:numFmt w:val="bullet"/>
      <w:lvlText w:val="o"/>
      <w:lvlJc w:val="left"/>
      <w:pPr>
        <w:ind w:left="3600" w:hanging="360"/>
      </w:pPr>
      <w:rPr>
        <w:rFonts w:ascii="Courier New" w:hAnsi="Courier New" w:cs="Courier New" w:hint="default"/>
      </w:rPr>
    </w:lvl>
    <w:lvl w:ilvl="5" w:tplc="D3B08E6C" w:tentative="1">
      <w:start w:val="1"/>
      <w:numFmt w:val="bullet"/>
      <w:lvlText w:val=""/>
      <w:lvlJc w:val="left"/>
      <w:pPr>
        <w:ind w:left="4320" w:hanging="360"/>
      </w:pPr>
      <w:rPr>
        <w:rFonts w:ascii="Wingdings" w:hAnsi="Wingdings" w:hint="default"/>
      </w:rPr>
    </w:lvl>
    <w:lvl w:ilvl="6" w:tplc="3D041A78" w:tentative="1">
      <w:start w:val="1"/>
      <w:numFmt w:val="bullet"/>
      <w:lvlText w:val=""/>
      <w:lvlJc w:val="left"/>
      <w:pPr>
        <w:ind w:left="5040" w:hanging="360"/>
      </w:pPr>
      <w:rPr>
        <w:rFonts w:ascii="Symbol" w:hAnsi="Symbol" w:hint="default"/>
      </w:rPr>
    </w:lvl>
    <w:lvl w:ilvl="7" w:tplc="F2E24DAA" w:tentative="1">
      <w:start w:val="1"/>
      <w:numFmt w:val="bullet"/>
      <w:lvlText w:val="o"/>
      <w:lvlJc w:val="left"/>
      <w:pPr>
        <w:ind w:left="5760" w:hanging="360"/>
      </w:pPr>
      <w:rPr>
        <w:rFonts w:ascii="Courier New" w:hAnsi="Courier New" w:cs="Courier New" w:hint="default"/>
      </w:rPr>
    </w:lvl>
    <w:lvl w:ilvl="8" w:tplc="D01E9BCE" w:tentative="1">
      <w:start w:val="1"/>
      <w:numFmt w:val="bullet"/>
      <w:lvlText w:val=""/>
      <w:lvlJc w:val="left"/>
      <w:pPr>
        <w:ind w:left="6480" w:hanging="360"/>
      </w:pPr>
      <w:rPr>
        <w:rFonts w:ascii="Wingdings" w:hAnsi="Wingdings" w:hint="default"/>
      </w:rPr>
    </w:lvl>
  </w:abstractNum>
  <w:abstractNum w:abstractNumId="3" w15:restartNumberingAfterBreak="0">
    <w:nsid w:val="64FA045C"/>
    <w:multiLevelType w:val="hybridMultilevel"/>
    <w:tmpl w:val="BCDCD62E"/>
    <w:lvl w:ilvl="0" w:tplc="F808D09C">
      <w:start w:val="1"/>
      <w:numFmt w:val="bullet"/>
      <w:lvlText w:val=""/>
      <w:lvlJc w:val="left"/>
      <w:pPr>
        <w:ind w:left="720" w:hanging="360"/>
      </w:pPr>
      <w:rPr>
        <w:rFonts w:ascii="Symbol" w:hAnsi="Symbol" w:hint="default"/>
      </w:rPr>
    </w:lvl>
    <w:lvl w:ilvl="1" w:tplc="8CCE361A" w:tentative="1">
      <w:start w:val="1"/>
      <w:numFmt w:val="bullet"/>
      <w:lvlText w:val="o"/>
      <w:lvlJc w:val="left"/>
      <w:pPr>
        <w:ind w:left="1440" w:hanging="360"/>
      </w:pPr>
      <w:rPr>
        <w:rFonts w:ascii="Courier New" w:hAnsi="Courier New" w:cs="Courier New" w:hint="default"/>
      </w:rPr>
    </w:lvl>
    <w:lvl w:ilvl="2" w:tplc="F788E0F4" w:tentative="1">
      <w:start w:val="1"/>
      <w:numFmt w:val="bullet"/>
      <w:lvlText w:val=""/>
      <w:lvlJc w:val="left"/>
      <w:pPr>
        <w:ind w:left="2160" w:hanging="360"/>
      </w:pPr>
      <w:rPr>
        <w:rFonts w:ascii="Wingdings" w:hAnsi="Wingdings" w:hint="default"/>
      </w:rPr>
    </w:lvl>
    <w:lvl w:ilvl="3" w:tplc="8F32E5DE" w:tentative="1">
      <w:start w:val="1"/>
      <w:numFmt w:val="bullet"/>
      <w:lvlText w:val=""/>
      <w:lvlJc w:val="left"/>
      <w:pPr>
        <w:ind w:left="2880" w:hanging="360"/>
      </w:pPr>
      <w:rPr>
        <w:rFonts w:ascii="Symbol" w:hAnsi="Symbol" w:hint="default"/>
      </w:rPr>
    </w:lvl>
    <w:lvl w:ilvl="4" w:tplc="03C8578E" w:tentative="1">
      <w:start w:val="1"/>
      <w:numFmt w:val="bullet"/>
      <w:lvlText w:val="o"/>
      <w:lvlJc w:val="left"/>
      <w:pPr>
        <w:ind w:left="3600" w:hanging="360"/>
      </w:pPr>
      <w:rPr>
        <w:rFonts w:ascii="Courier New" w:hAnsi="Courier New" w:cs="Courier New" w:hint="default"/>
      </w:rPr>
    </w:lvl>
    <w:lvl w:ilvl="5" w:tplc="7E2A950C" w:tentative="1">
      <w:start w:val="1"/>
      <w:numFmt w:val="bullet"/>
      <w:lvlText w:val=""/>
      <w:lvlJc w:val="left"/>
      <w:pPr>
        <w:ind w:left="4320" w:hanging="360"/>
      </w:pPr>
      <w:rPr>
        <w:rFonts w:ascii="Wingdings" w:hAnsi="Wingdings" w:hint="default"/>
      </w:rPr>
    </w:lvl>
    <w:lvl w:ilvl="6" w:tplc="79E84EF4" w:tentative="1">
      <w:start w:val="1"/>
      <w:numFmt w:val="bullet"/>
      <w:lvlText w:val=""/>
      <w:lvlJc w:val="left"/>
      <w:pPr>
        <w:ind w:left="5040" w:hanging="360"/>
      </w:pPr>
      <w:rPr>
        <w:rFonts w:ascii="Symbol" w:hAnsi="Symbol" w:hint="default"/>
      </w:rPr>
    </w:lvl>
    <w:lvl w:ilvl="7" w:tplc="35A8D05E" w:tentative="1">
      <w:start w:val="1"/>
      <w:numFmt w:val="bullet"/>
      <w:lvlText w:val="o"/>
      <w:lvlJc w:val="left"/>
      <w:pPr>
        <w:ind w:left="5760" w:hanging="360"/>
      </w:pPr>
      <w:rPr>
        <w:rFonts w:ascii="Courier New" w:hAnsi="Courier New" w:cs="Courier New" w:hint="default"/>
      </w:rPr>
    </w:lvl>
    <w:lvl w:ilvl="8" w:tplc="35E858F4" w:tentative="1">
      <w:start w:val="1"/>
      <w:numFmt w:val="bullet"/>
      <w:lvlText w:val=""/>
      <w:lvlJc w:val="left"/>
      <w:pPr>
        <w:ind w:left="6480" w:hanging="360"/>
      </w:pPr>
      <w:rPr>
        <w:rFonts w:ascii="Wingdings" w:hAnsi="Wingdings" w:hint="default"/>
      </w:rPr>
    </w:lvl>
  </w:abstractNum>
  <w:num w:numId="1" w16cid:durableId="1495150413">
    <w:abstractNumId w:val="2"/>
  </w:num>
  <w:num w:numId="2" w16cid:durableId="245238046">
    <w:abstractNumId w:val="3"/>
  </w:num>
  <w:num w:numId="3" w16cid:durableId="1809126330">
    <w:abstractNumId w:val="0"/>
  </w:num>
  <w:num w:numId="4" w16cid:durableId="1596745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D09"/>
    <w:rsid w:val="00004AB4"/>
    <w:rsid w:val="00033BA3"/>
    <w:rsid w:val="00037157"/>
    <w:rsid w:val="000422CF"/>
    <w:rsid w:val="0004791C"/>
    <w:rsid w:val="000607C2"/>
    <w:rsid w:val="00070931"/>
    <w:rsid w:val="000813DE"/>
    <w:rsid w:val="000978F4"/>
    <w:rsid w:val="000B510A"/>
    <w:rsid w:val="000C471F"/>
    <w:rsid w:val="000D3DD4"/>
    <w:rsid w:val="000D4021"/>
    <w:rsid w:val="000E2187"/>
    <w:rsid w:val="000F7FC0"/>
    <w:rsid w:val="001039B8"/>
    <w:rsid w:val="00110CCC"/>
    <w:rsid w:val="00110D8B"/>
    <w:rsid w:val="00111B2A"/>
    <w:rsid w:val="001141A5"/>
    <w:rsid w:val="00114A86"/>
    <w:rsid w:val="00116450"/>
    <w:rsid w:val="00121645"/>
    <w:rsid w:val="00130D97"/>
    <w:rsid w:val="001343E0"/>
    <w:rsid w:val="0014010D"/>
    <w:rsid w:val="001420FC"/>
    <w:rsid w:val="00143F2B"/>
    <w:rsid w:val="00144904"/>
    <w:rsid w:val="001578C0"/>
    <w:rsid w:val="00164544"/>
    <w:rsid w:val="001675EF"/>
    <w:rsid w:val="00190165"/>
    <w:rsid w:val="001930C2"/>
    <w:rsid w:val="00197879"/>
    <w:rsid w:val="001A3E61"/>
    <w:rsid w:val="001A7D82"/>
    <w:rsid w:val="001B7D1C"/>
    <w:rsid w:val="001B7F4D"/>
    <w:rsid w:val="001C2015"/>
    <w:rsid w:val="001E2733"/>
    <w:rsid w:val="001E5BBA"/>
    <w:rsid w:val="001E7681"/>
    <w:rsid w:val="001F1B0F"/>
    <w:rsid w:val="00213BC2"/>
    <w:rsid w:val="00227A61"/>
    <w:rsid w:val="0023522A"/>
    <w:rsid w:val="00237E92"/>
    <w:rsid w:val="002478B2"/>
    <w:rsid w:val="00251064"/>
    <w:rsid w:val="00252720"/>
    <w:rsid w:val="00253FC4"/>
    <w:rsid w:val="00273C16"/>
    <w:rsid w:val="00275E8B"/>
    <w:rsid w:val="00283E4A"/>
    <w:rsid w:val="002B640B"/>
    <w:rsid w:val="002C2C60"/>
    <w:rsid w:val="002D5FE2"/>
    <w:rsid w:val="002E58E6"/>
    <w:rsid w:val="002E64B3"/>
    <w:rsid w:val="002F7C51"/>
    <w:rsid w:val="00301DC6"/>
    <w:rsid w:val="003034BB"/>
    <w:rsid w:val="00304F51"/>
    <w:rsid w:val="003133DA"/>
    <w:rsid w:val="00335384"/>
    <w:rsid w:val="00335B82"/>
    <w:rsid w:val="003478CF"/>
    <w:rsid w:val="003569B7"/>
    <w:rsid w:val="00362E2F"/>
    <w:rsid w:val="0037420B"/>
    <w:rsid w:val="003946F7"/>
    <w:rsid w:val="003A0F65"/>
    <w:rsid w:val="003A7FA0"/>
    <w:rsid w:val="003B2738"/>
    <w:rsid w:val="003C1573"/>
    <w:rsid w:val="003D2220"/>
    <w:rsid w:val="003D254A"/>
    <w:rsid w:val="003D6BAE"/>
    <w:rsid w:val="003D7F75"/>
    <w:rsid w:val="003E1847"/>
    <w:rsid w:val="003E6D1D"/>
    <w:rsid w:val="003F54F7"/>
    <w:rsid w:val="00401D2E"/>
    <w:rsid w:val="00405621"/>
    <w:rsid w:val="0040580E"/>
    <w:rsid w:val="00416B12"/>
    <w:rsid w:val="00431162"/>
    <w:rsid w:val="004313C7"/>
    <w:rsid w:val="004425EF"/>
    <w:rsid w:val="00454FCD"/>
    <w:rsid w:val="00464780"/>
    <w:rsid w:val="00470CE8"/>
    <w:rsid w:val="004718B8"/>
    <w:rsid w:val="00471F9D"/>
    <w:rsid w:val="00474523"/>
    <w:rsid w:val="00480EEF"/>
    <w:rsid w:val="004836A2"/>
    <w:rsid w:val="004A0667"/>
    <w:rsid w:val="004A6D11"/>
    <w:rsid w:val="004B7C82"/>
    <w:rsid w:val="004B7F7D"/>
    <w:rsid w:val="004D039F"/>
    <w:rsid w:val="004E1FC6"/>
    <w:rsid w:val="004E358A"/>
    <w:rsid w:val="004F137B"/>
    <w:rsid w:val="004F5AC0"/>
    <w:rsid w:val="00503138"/>
    <w:rsid w:val="00516BAD"/>
    <w:rsid w:val="0052166F"/>
    <w:rsid w:val="00524668"/>
    <w:rsid w:val="005318D7"/>
    <w:rsid w:val="00534BBC"/>
    <w:rsid w:val="00535AB3"/>
    <w:rsid w:val="00536115"/>
    <w:rsid w:val="005445C9"/>
    <w:rsid w:val="00553929"/>
    <w:rsid w:val="00565077"/>
    <w:rsid w:val="00574C58"/>
    <w:rsid w:val="00576353"/>
    <w:rsid w:val="005819FA"/>
    <w:rsid w:val="00581EF3"/>
    <w:rsid w:val="00585E53"/>
    <w:rsid w:val="005A0481"/>
    <w:rsid w:val="005B6D95"/>
    <w:rsid w:val="005B7428"/>
    <w:rsid w:val="005C58F7"/>
    <w:rsid w:val="005D2BA7"/>
    <w:rsid w:val="005E2EDE"/>
    <w:rsid w:val="00605325"/>
    <w:rsid w:val="00612E4B"/>
    <w:rsid w:val="00615F2D"/>
    <w:rsid w:val="00620D3C"/>
    <w:rsid w:val="006217E3"/>
    <w:rsid w:val="0062524A"/>
    <w:rsid w:val="006273B3"/>
    <w:rsid w:val="00627F5A"/>
    <w:rsid w:val="006436C3"/>
    <w:rsid w:val="0065218C"/>
    <w:rsid w:val="0065258F"/>
    <w:rsid w:val="0066005C"/>
    <w:rsid w:val="006613C9"/>
    <w:rsid w:val="00665F44"/>
    <w:rsid w:val="0066653B"/>
    <w:rsid w:val="00675AE9"/>
    <w:rsid w:val="00676A29"/>
    <w:rsid w:val="0068636D"/>
    <w:rsid w:val="0069109A"/>
    <w:rsid w:val="006A512D"/>
    <w:rsid w:val="006D5BBC"/>
    <w:rsid w:val="006D62C7"/>
    <w:rsid w:val="006F18FE"/>
    <w:rsid w:val="006F1B8E"/>
    <w:rsid w:val="006F226F"/>
    <w:rsid w:val="006F26A6"/>
    <w:rsid w:val="006F5194"/>
    <w:rsid w:val="006F6DD9"/>
    <w:rsid w:val="007106CA"/>
    <w:rsid w:val="00732153"/>
    <w:rsid w:val="007527EA"/>
    <w:rsid w:val="00767BFF"/>
    <w:rsid w:val="00771A47"/>
    <w:rsid w:val="00772AEB"/>
    <w:rsid w:val="007750DB"/>
    <w:rsid w:val="0077649B"/>
    <w:rsid w:val="00781943"/>
    <w:rsid w:val="007951EE"/>
    <w:rsid w:val="00795958"/>
    <w:rsid w:val="007979B5"/>
    <w:rsid w:val="007A3DBC"/>
    <w:rsid w:val="007B4D89"/>
    <w:rsid w:val="00805A53"/>
    <w:rsid w:val="00811C2F"/>
    <w:rsid w:val="0081461A"/>
    <w:rsid w:val="00814C1E"/>
    <w:rsid w:val="008150FD"/>
    <w:rsid w:val="00821D87"/>
    <w:rsid w:val="00825726"/>
    <w:rsid w:val="0084068C"/>
    <w:rsid w:val="00842B7C"/>
    <w:rsid w:val="00843BAA"/>
    <w:rsid w:val="00845B53"/>
    <w:rsid w:val="00852685"/>
    <w:rsid w:val="008815A6"/>
    <w:rsid w:val="00885412"/>
    <w:rsid w:val="008905E2"/>
    <w:rsid w:val="0089208C"/>
    <w:rsid w:val="0089646A"/>
    <w:rsid w:val="008A0410"/>
    <w:rsid w:val="008B14BE"/>
    <w:rsid w:val="008B402C"/>
    <w:rsid w:val="008B736D"/>
    <w:rsid w:val="008C6133"/>
    <w:rsid w:val="008D0AFF"/>
    <w:rsid w:val="008D171F"/>
    <w:rsid w:val="008D2CE2"/>
    <w:rsid w:val="008D47FF"/>
    <w:rsid w:val="008E2473"/>
    <w:rsid w:val="008E740B"/>
    <w:rsid w:val="008E77B7"/>
    <w:rsid w:val="008F0AA2"/>
    <w:rsid w:val="00924DA4"/>
    <w:rsid w:val="009304DD"/>
    <w:rsid w:val="00937DAB"/>
    <w:rsid w:val="00943642"/>
    <w:rsid w:val="009460EE"/>
    <w:rsid w:val="00961EF9"/>
    <w:rsid w:val="009668CC"/>
    <w:rsid w:val="0097462C"/>
    <w:rsid w:val="00994FF6"/>
    <w:rsid w:val="0099595A"/>
    <w:rsid w:val="009A3F0A"/>
    <w:rsid w:val="009A66AD"/>
    <w:rsid w:val="009C17D3"/>
    <w:rsid w:val="009C69B2"/>
    <w:rsid w:val="009D6DC5"/>
    <w:rsid w:val="009E308E"/>
    <w:rsid w:val="009E5F09"/>
    <w:rsid w:val="00A074E3"/>
    <w:rsid w:val="00A1533C"/>
    <w:rsid w:val="00A24EE0"/>
    <w:rsid w:val="00A360DA"/>
    <w:rsid w:val="00A452DF"/>
    <w:rsid w:val="00A50565"/>
    <w:rsid w:val="00A521B2"/>
    <w:rsid w:val="00A54D09"/>
    <w:rsid w:val="00A63784"/>
    <w:rsid w:val="00A67060"/>
    <w:rsid w:val="00A67722"/>
    <w:rsid w:val="00A9239B"/>
    <w:rsid w:val="00A93741"/>
    <w:rsid w:val="00A979D2"/>
    <w:rsid w:val="00AA103B"/>
    <w:rsid w:val="00AA496C"/>
    <w:rsid w:val="00AB6124"/>
    <w:rsid w:val="00AD1BF7"/>
    <w:rsid w:val="00AE4E05"/>
    <w:rsid w:val="00AE5B6E"/>
    <w:rsid w:val="00B177B2"/>
    <w:rsid w:val="00B4130A"/>
    <w:rsid w:val="00B42C29"/>
    <w:rsid w:val="00B43109"/>
    <w:rsid w:val="00B45256"/>
    <w:rsid w:val="00B4555D"/>
    <w:rsid w:val="00B6146E"/>
    <w:rsid w:val="00B65B9D"/>
    <w:rsid w:val="00B753E9"/>
    <w:rsid w:val="00BA2CBA"/>
    <w:rsid w:val="00BB6800"/>
    <w:rsid w:val="00BC0251"/>
    <w:rsid w:val="00BD5502"/>
    <w:rsid w:val="00BE38EB"/>
    <w:rsid w:val="00BE64DC"/>
    <w:rsid w:val="00BF6DB6"/>
    <w:rsid w:val="00C11487"/>
    <w:rsid w:val="00C175F4"/>
    <w:rsid w:val="00C178C2"/>
    <w:rsid w:val="00C212D0"/>
    <w:rsid w:val="00C23F4F"/>
    <w:rsid w:val="00C37F26"/>
    <w:rsid w:val="00C40C69"/>
    <w:rsid w:val="00C4398E"/>
    <w:rsid w:val="00C71F64"/>
    <w:rsid w:val="00C73687"/>
    <w:rsid w:val="00C76C96"/>
    <w:rsid w:val="00C85FC8"/>
    <w:rsid w:val="00C876D9"/>
    <w:rsid w:val="00C87DFB"/>
    <w:rsid w:val="00C93C53"/>
    <w:rsid w:val="00C97696"/>
    <w:rsid w:val="00CA066A"/>
    <w:rsid w:val="00CB60B2"/>
    <w:rsid w:val="00CC5B68"/>
    <w:rsid w:val="00CC7709"/>
    <w:rsid w:val="00CC7D52"/>
    <w:rsid w:val="00CE1973"/>
    <w:rsid w:val="00CE2674"/>
    <w:rsid w:val="00CF619D"/>
    <w:rsid w:val="00D069E5"/>
    <w:rsid w:val="00D138FE"/>
    <w:rsid w:val="00D14A78"/>
    <w:rsid w:val="00D21045"/>
    <w:rsid w:val="00D2400B"/>
    <w:rsid w:val="00D2511E"/>
    <w:rsid w:val="00D314A2"/>
    <w:rsid w:val="00D32313"/>
    <w:rsid w:val="00D40EED"/>
    <w:rsid w:val="00D415CB"/>
    <w:rsid w:val="00D5526C"/>
    <w:rsid w:val="00D64F71"/>
    <w:rsid w:val="00D75898"/>
    <w:rsid w:val="00D92243"/>
    <w:rsid w:val="00D93B6E"/>
    <w:rsid w:val="00DA08A7"/>
    <w:rsid w:val="00DA2BB3"/>
    <w:rsid w:val="00DB311B"/>
    <w:rsid w:val="00DB5B6F"/>
    <w:rsid w:val="00DD0481"/>
    <w:rsid w:val="00DD3BA9"/>
    <w:rsid w:val="00DE4B25"/>
    <w:rsid w:val="00DE72E4"/>
    <w:rsid w:val="00DF07FF"/>
    <w:rsid w:val="00DF155D"/>
    <w:rsid w:val="00E21AB1"/>
    <w:rsid w:val="00E2705B"/>
    <w:rsid w:val="00E403F0"/>
    <w:rsid w:val="00E4169F"/>
    <w:rsid w:val="00E42D3C"/>
    <w:rsid w:val="00E44BB6"/>
    <w:rsid w:val="00E520A3"/>
    <w:rsid w:val="00E5616C"/>
    <w:rsid w:val="00E562B1"/>
    <w:rsid w:val="00E62A04"/>
    <w:rsid w:val="00E64C1C"/>
    <w:rsid w:val="00E77E1F"/>
    <w:rsid w:val="00E92437"/>
    <w:rsid w:val="00EB624A"/>
    <w:rsid w:val="00EC728D"/>
    <w:rsid w:val="00ED0B8B"/>
    <w:rsid w:val="00ED7D64"/>
    <w:rsid w:val="00EE1990"/>
    <w:rsid w:val="00EF0877"/>
    <w:rsid w:val="00EF2937"/>
    <w:rsid w:val="00F04694"/>
    <w:rsid w:val="00F32041"/>
    <w:rsid w:val="00F35325"/>
    <w:rsid w:val="00F6081F"/>
    <w:rsid w:val="00F6197F"/>
    <w:rsid w:val="00F61E12"/>
    <w:rsid w:val="00F639E0"/>
    <w:rsid w:val="00F66127"/>
    <w:rsid w:val="00F70D89"/>
    <w:rsid w:val="00F74B7D"/>
    <w:rsid w:val="00F80FE8"/>
    <w:rsid w:val="00FA7EA6"/>
    <w:rsid w:val="00FB0442"/>
    <w:rsid w:val="00FC486D"/>
    <w:rsid w:val="00FC6B68"/>
    <w:rsid w:val="00FD0426"/>
    <w:rsid w:val="00FD3980"/>
    <w:rsid w:val="00FE429B"/>
    <w:rsid w:val="00FF05AB"/>
    <w:rsid w:val="00FF1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FF9ED"/>
  <w15:chartTrackingRefBased/>
  <w15:docId w15:val="{DFC1CC44-580A-4A3F-B51E-659B3449B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D09"/>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ssueBriefTitle">
    <w:name w:val="IssueBrief_Title"/>
    <w:next w:val="Normal"/>
    <w:link w:val="IssueBriefTitleChar"/>
    <w:qFormat/>
    <w:rsid w:val="00A54D09"/>
    <w:pPr>
      <w:pBdr>
        <w:top w:val="single" w:sz="18" w:space="1" w:color="1F3E7B"/>
      </w:pBdr>
      <w:shd w:val="clear" w:color="auto" w:fill="1F3E7B"/>
      <w:spacing w:before="60" w:after="0" w:line="288" w:lineRule="auto"/>
      <w:ind w:left="58" w:right="144"/>
    </w:pPr>
    <w:rPr>
      <w:rFonts w:ascii="Corbel" w:eastAsiaTheme="minorEastAsia" w:hAnsi="Corbel" w:cs="Times New Roman (Body CS)"/>
      <w:b/>
      <w:iCs/>
      <w:color w:val="FFFFFF" w:themeColor="background1"/>
      <w:w w:val="105"/>
      <w:kern w:val="0"/>
      <w:sz w:val="32"/>
      <w:szCs w:val="38"/>
      <w14:ligatures w14:val="none"/>
    </w:rPr>
  </w:style>
  <w:style w:type="character" w:customStyle="1" w:styleId="IssueBriefTitleChar">
    <w:name w:val="IssueBrief_Title Char"/>
    <w:basedOn w:val="DefaultParagraphFont"/>
    <w:link w:val="IssueBriefTitle"/>
    <w:rsid w:val="00A54D09"/>
    <w:rPr>
      <w:rFonts w:ascii="Corbel" w:eastAsiaTheme="minorEastAsia" w:hAnsi="Corbel" w:cs="Times New Roman (Body CS)"/>
      <w:b/>
      <w:iCs/>
      <w:color w:val="FFFFFF" w:themeColor="background1"/>
      <w:w w:val="105"/>
      <w:kern w:val="0"/>
      <w:sz w:val="32"/>
      <w:szCs w:val="38"/>
      <w:shd w:val="clear" w:color="auto" w:fill="1F3E7B"/>
      <w14:ligatures w14:val="none"/>
    </w:rPr>
  </w:style>
  <w:style w:type="character" w:styleId="Hyperlink">
    <w:name w:val="Hyperlink"/>
    <w:basedOn w:val="DefaultParagraphFont"/>
    <w:uiPriority w:val="99"/>
    <w:unhideWhenUsed/>
    <w:rsid w:val="00F66127"/>
    <w:rPr>
      <w:color w:val="0563C1" w:themeColor="hyperlink"/>
      <w:u w:val="single"/>
    </w:rPr>
  </w:style>
  <w:style w:type="paragraph" w:styleId="ListParagraph">
    <w:name w:val="List Paragraph"/>
    <w:basedOn w:val="Normal"/>
    <w:uiPriority w:val="34"/>
    <w:qFormat/>
    <w:rsid w:val="00F66127"/>
    <w:pPr>
      <w:ind w:left="720"/>
      <w:contextualSpacing/>
    </w:pPr>
  </w:style>
  <w:style w:type="paragraph" w:styleId="FootnoteText">
    <w:name w:val="footnote text"/>
    <w:basedOn w:val="Normal"/>
    <w:link w:val="FootnoteTextChar"/>
    <w:uiPriority w:val="99"/>
    <w:semiHidden/>
    <w:unhideWhenUsed/>
    <w:rsid w:val="004F13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137B"/>
    <w:rPr>
      <w:kern w:val="0"/>
      <w:sz w:val="20"/>
      <w:szCs w:val="20"/>
      <w14:ligatures w14:val="none"/>
    </w:rPr>
  </w:style>
  <w:style w:type="character" w:styleId="FootnoteReference">
    <w:name w:val="footnote reference"/>
    <w:basedOn w:val="DefaultParagraphFont"/>
    <w:uiPriority w:val="99"/>
    <w:semiHidden/>
    <w:unhideWhenUsed/>
    <w:rsid w:val="004F137B"/>
    <w:rPr>
      <w:vertAlign w:val="superscript"/>
    </w:rPr>
  </w:style>
  <w:style w:type="character" w:customStyle="1" w:styleId="UnresolvedMention1">
    <w:name w:val="Unresolved Mention1"/>
    <w:basedOn w:val="DefaultParagraphFont"/>
    <w:uiPriority w:val="99"/>
    <w:semiHidden/>
    <w:unhideWhenUsed/>
    <w:rsid w:val="004F137B"/>
    <w:rPr>
      <w:color w:val="605E5C"/>
      <w:shd w:val="clear" w:color="auto" w:fill="E1DFDD"/>
    </w:rPr>
  </w:style>
  <w:style w:type="paragraph" w:styleId="Revision">
    <w:name w:val="Revision"/>
    <w:hidden/>
    <w:uiPriority w:val="99"/>
    <w:semiHidden/>
    <w:rsid w:val="00B6146E"/>
    <w:pPr>
      <w:spacing w:after="0" w:line="240" w:lineRule="auto"/>
    </w:pPr>
    <w:rPr>
      <w:kern w:val="0"/>
      <w14:ligatures w14:val="none"/>
    </w:rPr>
  </w:style>
  <w:style w:type="character" w:styleId="CommentReference">
    <w:name w:val="annotation reference"/>
    <w:basedOn w:val="DefaultParagraphFont"/>
    <w:uiPriority w:val="99"/>
    <w:semiHidden/>
    <w:unhideWhenUsed/>
    <w:rsid w:val="00B6146E"/>
    <w:rPr>
      <w:sz w:val="16"/>
      <w:szCs w:val="16"/>
    </w:rPr>
  </w:style>
  <w:style w:type="paragraph" w:styleId="CommentText">
    <w:name w:val="annotation text"/>
    <w:basedOn w:val="Normal"/>
    <w:link w:val="CommentTextChar"/>
    <w:uiPriority w:val="99"/>
    <w:unhideWhenUsed/>
    <w:rsid w:val="00B6146E"/>
    <w:pPr>
      <w:spacing w:line="240" w:lineRule="auto"/>
    </w:pPr>
    <w:rPr>
      <w:sz w:val="20"/>
      <w:szCs w:val="20"/>
    </w:rPr>
  </w:style>
  <w:style w:type="character" w:customStyle="1" w:styleId="CommentTextChar">
    <w:name w:val="Comment Text Char"/>
    <w:basedOn w:val="DefaultParagraphFont"/>
    <w:link w:val="CommentText"/>
    <w:uiPriority w:val="99"/>
    <w:rsid w:val="00B6146E"/>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6146E"/>
    <w:rPr>
      <w:b/>
      <w:bCs/>
    </w:rPr>
  </w:style>
  <w:style w:type="character" w:customStyle="1" w:styleId="CommentSubjectChar">
    <w:name w:val="Comment Subject Char"/>
    <w:basedOn w:val="CommentTextChar"/>
    <w:link w:val="CommentSubject"/>
    <w:uiPriority w:val="99"/>
    <w:semiHidden/>
    <w:rsid w:val="00B6146E"/>
    <w:rPr>
      <w:b/>
      <w:bCs/>
      <w:kern w:val="0"/>
      <w:sz w:val="20"/>
      <w:szCs w:val="20"/>
      <w14:ligatures w14:val="none"/>
    </w:rPr>
  </w:style>
  <w:style w:type="character" w:styleId="FollowedHyperlink">
    <w:name w:val="FollowedHyperlink"/>
    <w:basedOn w:val="DefaultParagraphFont"/>
    <w:uiPriority w:val="99"/>
    <w:semiHidden/>
    <w:unhideWhenUsed/>
    <w:rsid w:val="009A3F0A"/>
    <w:rPr>
      <w:color w:val="954F72" w:themeColor="followedHyperlink"/>
      <w:u w:val="single"/>
    </w:rPr>
  </w:style>
  <w:style w:type="paragraph" w:styleId="Header">
    <w:name w:val="header"/>
    <w:basedOn w:val="Normal"/>
    <w:link w:val="HeaderChar"/>
    <w:uiPriority w:val="99"/>
    <w:unhideWhenUsed/>
    <w:rsid w:val="0011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41A5"/>
    <w:rPr>
      <w:kern w:val="0"/>
      <w14:ligatures w14:val="none"/>
    </w:rPr>
  </w:style>
  <w:style w:type="paragraph" w:styleId="Footer">
    <w:name w:val="footer"/>
    <w:basedOn w:val="Normal"/>
    <w:link w:val="FooterChar"/>
    <w:uiPriority w:val="99"/>
    <w:unhideWhenUsed/>
    <w:rsid w:val="0011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41A5"/>
    <w:rPr>
      <w:kern w:val="0"/>
      <w14:ligatures w14:val="none"/>
    </w:rPr>
  </w:style>
  <w:style w:type="character" w:styleId="UnresolvedMention">
    <w:name w:val="Unresolved Mention"/>
    <w:basedOn w:val="DefaultParagraphFont"/>
    <w:uiPriority w:val="99"/>
    <w:rsid w:val="00D40E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austin.harrison@squirepb.com" TargetMode="External"/><Relationship Id="rId4" Type="http://schemas.openxmlformats.org/officeDocument/2006/relationships/settings" Target="settings.xml"/><Relationship Id="rId9" Type="http://schemas.openxmlformats.org/officeDocument/2006/relationships/hyperlink" Target="mailto:runderwood@emamerica.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28321-10D4-481A-B406-DEEA33AA7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1134</Words>
  <Characters>6470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 Underwood</dc:creator>
  <cp:lastModifiedBy>Rob Underwood</cp:lastModifiedBy>
  <cp:revision>2</cp:revision>
  <dcterms:created xsi:type="dcterms:W3CDTF">2025-05-05T17:07:00Z</dcterms:created>
  <dcterms:modified xsi:type="dcterms:W3CDTF">2025-05-05T17:07:00Z</dcterms:modified>
</cp:coreProperties>
</file>