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E76EB" w14:textId="77777777" w:rsidR="00A613D6" w:rsidRPr="00A613D6" w:rsidRDefault="00000000" w:rsidP="00A613D6">
      <w:pPr>
        <w:spacing w:after="0" w:line="259" w:lineRule="auto"/>
        <w:ind w:right="593"/>
        <w:jc w:val="right"/>
        <w:rPr>
          <w:rFonts w:ascii="Calibri" w:eastAsia="Constantia" w:hAnsi="Calibri" w:cs="Calibri"/>
          <w:color w:val="000000"/>
        </w:rPr>
      </w:pPr>
      <w:r w:rsidRPr="00A613D6">
        <w:rPr>
          <w:rFonts w:ascii="Calibri" w:eastAsia="Constantia" w:hAnsi="Calibri" w:cs="Calibri"/>
          <w:noProof/>
          <w:color w:val="000000"/>
        </w:rPr>
        <w:drawing>
          <wp:inline distT="0" distB="0" distL="0" distR="0" wp14:anchorId="188FB319" wp14:editId="5BD686BE">
            <wp:extent cx="5577840" cy="728345"/>
            <wp:effectExtent l="0" t="0" r="0" b="0"/>
            <wp:docPr id="52" name="Picture 52" descr="A grey and white logo&#10;&#10;AI-generated content may be incorrect."/>
            <wp:cNvGraphicFramePr/>
            <a:graphic xmlns:a="http://schemas.openxmlformats.org/drawingml/2006/main">
              <a:graphicData uri="http://schemas.openxmlformats.org/drawingml/2006/picture">
                <pic:pic xmlns:pic="http://schemas.openxmlformats.org/drawingml/2006/picture">
                  <pic:nvPicPr>
                    <pic:cNvPr id="52" name="Picture 52" descr="A grey and white logo&#10;&#10;AI-generated content may be incorrect."/>
                    <pic:cNvPicPr/>
                  </pic:nvPicPr>
                  <pic:blipFill>
                    <a:blip r:embed="rId7"/>
                    <a:stretch>
                      <a:fillRect/>
                    </a:stretch>
                  </pic:blipFill>
                  <pic:spPr>
                    <a:xfrm>
                      <a:off x="0" y="0"/>
                      <a:ext cx="5577840" cy="728345"/>
                    </a:xfrm>
                    <a:prstGeom prst="rect">
                      <a:avLst/>
                    </a:prstGeom>
                  </pic:spPr>
                </pic:pic>
              </a:graphicData>
            </a:graphic>
          </wp:inline>
        </w:drawing>
      </w:r>
      <w:r w:rsidRPr="00A613D6">
        <w:rPr>
          <w:rFonts w:ascii="Calibri" w:eastAsia="Constantia" w:hAnsi="Calibri" w:cs="Calibri"/>
          <w:b/>
          <w:color w:val="000000"/>
        </w:rPr>
        <w:t xml:space="preserve"> </w:t>
      </w:r>
    </w:p>
    <w:p w14:paraId="6E04DEC3" w14:textId="77777777" w:rsidR="00A613D6" w:rsidRPr="00A613D6" w:rsidRDefault="00A613D6" w:rsidP="00A613D6">
      <w:pPr>
        <w:spacing w:after="196" w:line="259" w:lineRule="auto"/>
        <w:rPr>
          <w:rFonts w:ascii="Calibri" w:eastAsia="Constantia" w:hAnsi="Calibri" w:cs="Calibri"/>
          <w:color w:val="000000"/>
        </w:rPr>
      </w:pPr>
    </w:p>
    <w:p w14:paraId="4BE2C8AD" w14:textId="16B59AEA" w:rsidR="00A613D6" w:rsidRPr="00A613D6" w:rsidRDefault="00000000" w:rsidP="00A613D6">
      <w:pPr>
        <w:shd w:val="clear" w:color="auto" w:fill="1F3E7B"/>
        <w:spacing w:after="0" w:line="259" w:lineRule="auto"/>
        <w:ind w:left="58"/>
        <w:jc w:val="center"/>
        <w:rPr>
          <w:rFonts w:ascii="Calibri" w:eastAsia="Constantia" w:hAnsi="Calibri" w:cs="Calibri"/>
          <w:color w:val="000000"/>
          <w:sz w:val="44"/>
          <w:szCs w:val="44"/>
        </w:rPr>
      </w:pPr>
      <w:r w:rsidRPr="005554AE">
        <w:rPr>
          <w:rFonts w:ascii="Calibri" w:eastAsia="Constantia" w:hAnsi="Calibri" w:cs="Calibri"/>
          <w:b/>
          <w:color w:val="FFFFFF"/>
          <w:sz w:val="44"/>
          <w:szCs w:val="44"/>
        </w:rPr>
        <w:t xml:space="preserve">Small Business Tax Issues for Tax </w:t>
      </w:r>
      <w:r w:rsidR="005554AE" w:rsidRPr="005554AE">
        <w:rPr>
          <w:rFonts w:ascii="Calibri" w:eastAsia="Constantia" w:hAnsi="Calibri" w:cs="Calibri"/>
          <w:b/>
          <w:color w:val="FFFFFF"/>
          <w:sz w:val="44"/>
          <w:szCs w:val="44"/>
        </w:rPr>
        <w:t>Cuts 2.0</w:t>
      </w:r>
    </w:p>
    <w:p w14:paraId="56397162" w14:textId="77777777" w:rsidR="00A613D6" w:rsidRPr="00A613D6" w:rsidRDefault="00000000" w:rsidP="00A613D6">
      <w:pPr>
        <w:spacing w:after="0" w:line="259" w:lineRule="auto"/>
        <w:rPr>
          <w:rFonts w:ascii="Calibri" w:eastAsia="Constantia" w:hAnsi="Calibri" w:cs="Calibri"/>
          <w:color w:val="000000"/>
        </w:rPr>
      </w:pPr>
      <w:r w:rsidRPr="00A613D6">
        <w:rPr>
          <w:rFonts w:ascii="Calibri" w:eastAsia="Constantia" w:hAnsi="Calibri" w:cs="Calibri"/>
          <w:b/>
          <w:color w:val="000000"/>
        </w:rPr>
        <w:t xml:space="preserve"> </w:t>
      </w:r>
    </w:p>
    <w:p w14:paraId="74BFA2F3" w14:textId="77777777" w:rsidR="00A613D6" w:rsidRPr="00A613D6" w:rsidRDefault="00000000" w:rsidP="00A613D6">
      <w:pPr>
        <w:keepNext/>
        <w:keepLines/>
        <w:spacing w:after="0" w:line="259" w:lineRule="auto"/>
        <w:ind w:left="-5" w:hanging="10"/>
        <w:outlineLvl w:val="0"/>
        <w:rPr>
          <w:rFonts w:ascii="Calibri" w:eastAsia="Constantia" w:hAnsi="Calibri" w:cs="Calibri"/>
          <w:b/>
          <w:color w:val="0070C0"/>
        </w:rPr>
      </w:pPr>
      <w:r w:rsidRPr="00A613D6">
        <w:rPr>
          <w:rFonts w:ascii="Calibri" w:eastAsia="Constantia" w:hAnsi="Calibri" w:cs="Calibri"/>
          <w:b/>
          <w:color w:val="0070C0"/>
        </w:rPr>
        <w:t>Ba</w:t>
      </w:r>
      <w:bookmarkStart w:id="0" w:name="_Hlk195110322"/>
      <w:r w:rsidRPr="00A613D6">
        <w:rPr>
          <w:rFonts w:ascii="Calibri" w:eastAsia="Constantia" w:hAnsi="Calibri" w:cs="Calibri"/>
          <w:b/>
          <w:color w:val="0070C0"/>
        </w:rPr>
        <w:t>ckgro</w:t>
      </w:r>
      <w:bookmarkEnd w:id="0"/>
      <w:r w:rsidRPr="00A613D6">
        <w:rPr>
          <w:rFonts w:ascii="Calibri" w:eastAsia="Constantia" w:hAnsi="Calibri" w:cs="Calibri"/>
          <w:b/>
          <w:color w:val="0070C0"/>
        </w:rPr>
        <w:t xml:space="preserve">und </w:t>
      </w:r>
    </w:p>
    <w:p w14:paraId="2ED58D48" w14:textId="03E06AD8" w:rsidR="0071036E" w:rsidRPr="005554AE" w:rsidRDefault="00000000" w:rsidP="0071036E">
      <w:pPr>
        <w:spacing w:line="240" w:lineRule="auto"/>
        <w:contextualSpacing/>
        <w:rPr>
          <w:rFonts w:ascii="Calibri" w:hAnsi="Calibri" w:cs="Calibri"/>
        </w:rPr>
      </w:pPr>
      <w:r w:rsidRPr="005554AE">
        <w:rPr>
          <w:rFonts w:ascii="Calibri" w:hAnsi="Calibri" w:cs="Calibri"/>
        </w:rPr>
        <w:t xml:space="preserve">The </w:t>
      </w:r>
      <w:r w:rsidR="001C5854">
        <w:rPr>
          <w:rFonts w:ascii="Calibri" w:hAnsi="Calibri" w:cs="Calibri"/>
        </w:rPr>
        <w:t xml:space="preserve">2017 </w:t>
      </w:r>
      <w:r w:rsidRPr="004C2A39">
        <w:rPr>
          <w:rFonts w:ascii="Calibri" w:hAnsi="Calibri" w:cs="Calibri"/>
          <w:i/>
          <w:iCs/>
        </w:rPr>
        <w:t>Tax Cuts and Jobs Act</w:t>
      </w:r>
      <w:r w:rsidRPr="005554AE">
        <w:rPr>
          <w:rFonts w:ascii="Calibri" w:hAnsi="Calibri" w:cs="Calibri"/>
        </w:rPr>
        <w:t xml:space="preserve"> (TCJA) </w:t>
      </w:r>
      <w:r w:rsidR="001C5854">
        <w:rPr>
          <w:rFonts w:ascii="Calibri" w:hAnsi="Calibri" w:cs="Calibri"/>
        </w:rPr>
        <w:t>cut</w:t>
      </w:r>
      <w:r w:rsidR="001C5854" w:rsidRPr="005554AE">
        <w:rPr>
          <w:rFonts w:ascii="Calibri" w:hAnsi="Calibri" w:cs="Calibri"/>
        </w:rPr>
        <w:t xml:space="preserve"> </w:t>
      </w:r>
      <w:r w:rsidRPr="005554AE">
        <w:rPr>
          <w:rFonts w:ascii="Calibri" w:hAnsi="Calibri" w:cs="Calibri"/>
        </w:rPr>
        <w:t xml:space="preserve">tax rates </w:t>
      </w:r>
      <w:r w:rsidR="001C5854">
        <w:rPr>
          <w:rFonts w:ascii="Calibri" w:hAnsi="Calibri" w:cs="Calibri"/>
        </w:rPr>
        <w:t>for</w:t>
      </w:r>
      <w:r w:rsidR="001C5854" w:rsidRPr="005554AE">
        <w:rPr>
          <w:rFonts w:ascii="Calibri" w:hAnsi="Calibri" w:cs="Calibri"/>
        </w:rPr>
        <w:t xml:space="preserve"> </w:t>
      </w:r>
      <w:r w:rsidRPr="005554AE">
        <w:rPr>
          <w:rFonts w:ascii="Calibri" w:hAnsi="Calibri" w:cs="Calibri"/>
        </w:rPr>
        <w:t>small</w:t>
      </w:r>
      <w:r w:rsidR="001C5854">
        <w:rPr>
          <w:rFonts w:ascii="Calibri" w:hAnsi="Calibri" w:cs="Calibri"/>
        </w:rPr>
        <w:t xml:space="preserve"> and family-owned</w:t>
      </w:r>
      <w:r w:rsidRPr="005554AE">
        <w:rPr>
          <w:rFonts w:ascii="Calibri" w:hAnsi="Calibri" w:cs="Calibri"/>
        </w:rPr>
        <w:t xml:space="preserve"> businesses and </w:t>
      </w:r>
      <w:r w:rsidR="001C5854">
        <w:rPr>
          <w:rFonts w:ascii="Calibri" w:hAnsi="Calibri" w:cs="Calibri"/>
        </w:rPr>
        <w:t>unleashed economic, job, and wage growth nationwide. It is</w:t>
      </w:r>
      <w:r w:rsidRPr="005554AE">
        <w:rPr>
          <w:rFonts w:ascii="Calibri" w:hAnsi="Calibri" w:cs="Calibri"/>
        </w:rPr>
        <w:t xml:space="preserve"> imperative that Congress </w:t>
      </w:r>
      <w:r w:rsidR="001C5854">
        <w:rPr>
          <w:rFonts w:ascii="Calibri" w:hAnsi="Calibri" w:cs="Calibri"/>
        </w:rPr>
        <w:t>enact</w:t>
      </w:r>
      <w:r w:rsidR="001C5854" w:rsidRPr="005554AE">
        <w:rPr>
          <w:rFonts w:ascii="Calibri" w:hAnsi="Calibri" w:cs="Calibri"/>
        </w:rPr>
        <w:t xml:space="preserve"> </w:t>
      </w:r>
      <w:r w:rsidRPr="005554AE">
        <w:rPr>
          <w:rFonts w:ascii="Calibri" w:hAnsi="Calibri" w:cs="Calibri"/>
        </w:rPr>
        <w:t xml:space="preserve">a reconciliation package that preserves </w:t>
      </w:r>
      <w:r w:rsidR="00206A69" w:rsidRPr="005554AE">
        <w:rPr>
          <w:rFonts w:ascii="Calibri" w:hAnsi="Calibri" w:cs="Calibri"/>
        </w:rPr>
        <w:t xml:space="preserve">tax parity for </w:t>
      </w:r>
      <w:r w:rsidR="000A00D4">
        <w:rPr>
          <w:rFonts w:ascii="Calibri" w:hAnsi="Calibri" w:cs="Calibri"/>
        </w:rPr>
        <w:t>pass-through businesses and C-corps.</w:t>
      </w:r>
      <w:r w:rsidR="005554AE" w:rsidRPr="005554AE">
        <w:rPr>
          <w:rFonts w:ascii="Calibri" w:hAnsi="Calibri" w:cs="Calibri"/>
        </w:rPr>
        <w:t xml:space="preserve">  Small </w:t>
      </w:r>
      <w:r w:rsidR="000A00D4">
        <w:rPr>
          <w:rFonts w:ascii="Calibri" w:hAnsi="Calibri" w:cs="Calibri"/>
        </w:rPr>
        <w:t xml:space="preserve">and family-owned </w:t>
      </w:r>
      <w:r w:rsidR="005554AE" w:rsidRPr="005554AE">
        <w:rPr>
          <w:rFonts w:ascii="Calibri" w:hAnsi="Calibri" w:cs="Calibri"/>
        </w:rPr>
        <w:t>business owners are affected by a variety of other tax issues including, but not limited to, payroll tax</w:t>
      </w:r>
      <w:r w:rsidR="00B13780">
        <w:rPr>
          <w:rFonts w:ascii="Calibri" w:hAnsi="Calibri" w:cs="Calibri"/>
        </w:rPr>
        <w:t>es</w:t>
      </w:r>
      <w:r w:rsidR="005554AE" w:rsidRPr="005554AE">
        <w:rPr>
          <w:rFonts w:ascii="Calibri" w:hAnsi="Calibri" w:cs="Calibri"/>
        </w:rPr>
        <w:t xml:space="preserve">, the estate tax, and industry-specific tax credits and deductions.  </w:t>
      </w:r>
    </w:p>
    <w:p w14:paraId="5F0EA73D" w14:textId="77777777" w:rsidR="00206A69" w:rsidRPr="005554AE" w:rsidRDefault="00206A69" w:rsidP="0071036E">
      <w:pPr>
        <w:spacing w:line="240" w:lineRule="auto"/>
        <w:contextualSpacing/>
        <w:rPr>
          <w:rFonts w:ascii="Calibri" w:hAnsi="Calibri" w:cs="Calibri"/>
        </w:rPr>
      </w:pPr>
    </w:p>
    <w:p w14:paraId="5199C205" w14:textId="08228EEF" w:rsidR="0071036E" w:rsidRPr="005554AE" w:rsidRDefault="00000000" w:rsidP="0071036E">
      <w:pPr>
        <w:spacing w:line="240" w:lineRule="auto"/>
        <w:contextualSpacing/>
        <w:rPr>
          <w:rFonts w:ascii="Calibri" w:hAnsi="Calibri" w:cs="Calibri"/>
          <w:b/>
          <w:bCs/>
          <w:color w:val="0070C0"/>
        </w:rPr>
      </w:pPr>
      <w:r w:rsidRPr="005554AE">
        <w:rPr>
          <w:rFonts w:ascii="Calibri" w:hAnsi="Calibri" w:cs="Calibri"/>
          <w:b/>
          <w:bCs/>
          <w:color w:val="0070C0"/>
        </w:rPr>
        <w:t>“The Ask”</w:t>
      </w:r>
    </w:p>
    <w:p w14:paraId="0A8E4AC0" w14:textId="3DFF3E23" w:rsidR="005554AE" w:rsidRDefault="00000000" w:rsidP="005554AE">
      <w:pPr>
        <w:pStyle w:val="ListParagraph"/>
        <w:numPr>
          <w:ilvl w:val="0"/>
          <w:numId w:val="1"/>
        </w:numPr>
        <w:spacing w:line="240" w:lineRule="auto"/>
        <w:rPr>
          <w:rFonts w:ascii="Calibri" w:hAnsi="Calibri" w:cs="Calibri"/>
        </w:rPr>
      </w:pPr>
      <w:r w:rsidRPr="005554AE">
        <w:rPr>
          <w:rFonts w:ascii="Calibri" w:hAnsi="Calibri" w:cs="Calibri"/>
          <w:b/>
          <w:bCs/>
        </w:rPr>
        <w:t>Make permanent the Section 199A deduction for pass</w:t>
      </w:r>
      <w:r w:rsidR="000A00D4">
        <w:rPr>
          <w:rFonts w:ascii="Calibri" w:hAnsi="Calibri" w:cs="Calibri"/>
          <w:b/>
          <w:bCs/>
        </w:rPr>
        <w:t>-</w:t>
      </w:r>
      <w:r w:rsidRPr="005554AE">
        <w:rPr>
          <w:rFonts w:ascii="Calibri" w:hAnsi="Calibri" w:cs="Calibri"/>
          <w:b/>
          <w:bCs/>
        </w:rPr>
        <w:t>through businesses.</w:t>
      </w:r>
      <w:r w:rsidRPr="005554AE">
        <w:rPr>
          <w:rFonts w:ascii="Calibri" w:hAnsi="Calibri" w:cs="Calibri"/>
        </w:rPr>
        <w:t xml:space="preserve"> The TCJA included a new </w:t>
      </w:r>
      <w:r>
        <w:rPr>
          <w:rFonts w:ascii="Calibri" w:hAnsi="Calibri" w:cs="Calibri"/>
        </w:rPr>
        <w:t>20 p</w:t>
      </w:r>
      <w:r w:rsidR="000A00D4">
        <w:rPr>
          <w:rFonts w:ascii="Calibri" w:hAnsi="Calibri" w:cs="Calibri"/>
        </w:rPr>
        <w:t>er</w:t>
      </w:r>
      <w:r>
        <w:rPr>
          <w:rFonts w:ascii="Calibri" w:hAnsi="Calibri" w:cs="Calibri"/>
        </w:rPr>
        <w:t xml:space="preserve">cent </w:t>
      </w:r>
      <w:r w:rsidRPr="005554AE">
        <w:rPr>
          <w:rFonts w:ascii="Calibri" w:hAnsi="Calibri" w:cs="Calibri"/>
        </w:rPr>
        <w:t xml:space="preserve">deduction to ensure </w:t>
      </w:r>
      <w:r w:rsidR="000A00D4">
        <w:rPr>
          <w:rFonts w:ascii="Calibri" w:hAnsi="Calibri" w:cs="Calibri"/>
        </w:rPr>
        <w:t xml:space="preserve">pass-through </w:t>
      </w:r>
      <w:r w:rsidRPr="005554AE">
        <w:rPr>
          <w:rFonts w:ascii="Calibri" w:hAnsi="Calibri" w:cs="Calibri"/>
        </w:rPr>
        <w:t>business owners pay tax rates more comparable to the corporate</w:t>
      </w:r>
      <w:r w:rsidR="000A00D4">
        <w:rPr>
          <w:rFonts w:ascii="Calibri" w:hAnsi="Calibri" w:cs="Calibri"/>
        </w:rPr>
        <w:t xml:space="preserve"> income</w:t>
      </w:r>
      <w:r w:rsidRPr="005554AE">
        <w:rPr>
          <w:rFonts w:ascii="Calibri" w:hAnsi="Calibri" w:cs="Calibri"/>
        </w:rPr>
        <w:t xml:space="preserve"> tax rate</w:t>
      </w:r>
      <w:r w:rsidR="00B13780">
        <w:rPr>
          <w:rFonts w:ascii="Calibri" w:hAnsi="Calibri" w:cs="Calibri"/>
        </w:rPr>
        <w:t>,</w:t>
      </w:r>
      <w:r w:rsidRPr="005554AE">
        <w:rPr>
          <w:rFonts w:ascii="Calibri" w:hAnsi="Calibri" w:cs="Calibri"/>
        </w:rPr>
        <w:t xml:space="preserve"> reduced </w:t>
      </w:r>
      <w:r w:rsidR="00B13780">
        <w:rPr>
          <w:rFonts w:ascii="Calibri" w:hAnsi="Calibri" w:cs="Calibri"/>
        </w:rPr>
        <w:t xml:space="preserve">to 21% </w:t>
      </w:r>
      <w:r w:rsidRPr="005554AE">
        <w:rPr>
          <w:rFonts w:ascii="Calibri" w:hAnsi="Calibri" w:cs="Calibri"/>
        </w:rPr>
        <w:t xml:space="preserve">by the TCJA. If allowed to expire, the </w:t>
      </w:r>
      <w:r w:rsidR="000A00D4">
        <w:rPr>
          <w:rFonts w:ascii="Calibri" w:hAnsi="Calibri" w:cs="Calibri"/>
        </w:rPr>
        <w:t>S</w:t>
      </w:r>
      <w:r w:rsidRPr="005554AE">
        <w:rPr>
          <w:rFonts w:ascii="Calibri" w:hAnsi="Calibri" w:cs="Calibri"/>
        </w:rPr>
        <w:t xml:space="preserve">ection 199A </w:t>
      </w:r>
      <w:r w:rsidR="000A00D4">
        <w:rPr>
          <w:rFonts w:ascii="Calibri" w:hAnsi="Calibri" w:cs="Calibri"/>
        </w:rPr>
        <w:t xml:space="preserve">pass-through </w:t>
      </w:r>
      <w:r w:rsidRPr="005554AE">
        <w:rPr>
          <w:rFonts w:ascii="Calibri" w:hAnsi="Calibri" w:cs="Calibri"/>
        </w:rPr>
        <w:t>deduction wil</w:t>
      </w:r>
      <w:r w:rsidR="00494B0A" w:rsidRPr="005554AE">
        <w:rPr>
          <w:rFonts w:ascii="Calibri" w:hAnsi="Calibri" w:cs="Calibri"/>
        </w:rPr>
        <w:t>l</w:t>
      </w:r>
      <w:r w:rsidRPr="005554AE">
        <w:rPr>
          <w:rFonts w:ascii="Calibri" w:hAnsi="Calibri" w:cs="Calibri"/>
        </w:rPr>
        <w:t xml:space="preserve"> severely disadvantage </w:t>
      </w:r>
      <w:r w:rsidR="000A00D4">
        <w:rPr>
          <w:rFonts w:ascii="Calibri" w:hAnsi="Calibri" w:cs="Calibri"/>
        </w:rPr>
        <w:t>these small and family-owned</w:t>
      </w:r>
      <w:r w:rsidR="000A00D4" w:rsidRPr="005554AE">
        <w:rPr>
          <w:rFonts w:ascii="Calibri" w:hAnsi="Calibri" w:cs="Calibri"/>
        </w:rPr>
        <w:t xml:space="preserve"> </w:t>
      </w:r>
      <w:r w:rsidRPr="005554AE">
        <w:rPr>
          <w:rFonts w:ascii="Calibri" w:hAnsi="Calibri" w:cs="Calibri"/>
        </w:rPr>
        <w:t>businesses</w:t>
      </w:r>
      <w:r w:rsidR="00B13780">
        <w:rPr>
          <w:rFonts w:ascii="Calibri" w:hAnsi="Calibri" w:cs="Calibri"/>
        </w:rPr>
        <w:t xml:space="preserve"> compared to other businesses</w:t>
      </w:r>
      <w:r w:rsidRPr="005554AE">
        <w:rPr>
          <w:rFonts w:ascii="Calibri" w:hAnsi="Calibri" w:cs="Calibri"/>
        </w:rPr>
        <w:t xml:space="preserve">. </w:t>
      </w:r>
      <w:r w:rsidR="000A00D4">
        <w:rPr>
          <w:rFonts w:ascii="Calibri" w:hAnsi="Calibri" w:cs="Calibri"/>
        </w:rPr>
        <w:t>Section 199A</w:t>
      </w:r>
      <w:r w:rsidRPr="005554AE">
        <w:rPr>
          <w:rFonts w:ascii="Calibri" w:hAnsi="Calibri" w:cs="Calibri"/>
        </w:rPr>
        <w:t xml:space="preserve"> allows owners of </w:t>
      </w:r>
      <w:r w:rsidR="000A00D4">
        <w:rPr>
          <w:rFonts w:ascii="Calibri" w:hAnsi="Calibri" w:cs="Calibri"/>
        </w:rPr>
        <w:t xml:space="preserve">certain </w:t>
      </w:r>
      <w:r w:rsidRPr="005554AE">
        <w:rPr>
          <w:rFonts w:ascii="Calibri" w:hAnsi="Calibri" w:cs="Calibri"/>
        </w:rPr>
        <w:t xml:space="preserve">pass-through businesses (like S corps, partnerships, and sole proprietorships) to deduct up to 20% of their qualified business income. It's a major benefit for small and mid-sized businesses, </w:t>
      </w:r>
      <w:r w:rsidR="00B13780">
        <w:rPr>
          <w:rFonts w:ascii="Calibri" w:hAnsi="Calibri" w:cs="Calibri"/>
        </w:rPr>
        <w:t xml:space="preserve">who are taxed at individual income tax rates, that </w:t>
      </w:r>
      <w:r w:rsidRPr="005554AE">
        <w:rPr>
          <w:rFonts w:ascii="Calibri" w:hAnsi="Calibri" w:cs="Calibri"/>
        </w:rPr>
        <w:t>effectively lower</w:t>
      </w:r>
      <w:r w:rsidR="00B13780">
        <w:rPr>
          <w:rFonts w:ascii="Calibri" w:hAnsi="Calibri" w:cs="Calibri"/>
        </w:rPr>
        <w:t>s</w:t>
      </w:r>
      <w:r w:rsidRPr="005554AE">
        <w:rPr>
          <w:rFonts w:ascii="Calibri" w:hAnsi="Calibri" w:cs="Calibri"/>
        </w:rPr>
        <w:t xml:space="preserve"> the top tax rate on qualifying income</w:t>
      </w:r>
      <w:r w:rsidR="00B13780">
        <w:rPr>
          <w:rFonts w:ascii="Calibri" w:hAnsi="Calibri" w:cs="Calibri"/>
        </w:rPr>
        <w:t xml:space="preserve"> and allows pass-throughs to keep pace with C corps</w:t>
      </w:r>
      <w:r w:rsidRPr="005554AE">
        <w:rPr>
          <w:rFonts w:ascii="Calibri" w:hAnsi="Calibri" w:cs="Calibri"/>
        </w:rPr>
        <w:t>.</w:t>
      </w:r>
      <w:r w:rsidRPr="005554AE">
        <w:t xml:space="preserve"> </w:t>
      </w:r>
      <w:r>
        <w:t xml:space="preserve">  </w:t>
      </w:r>
      <w:r w:rsidRPr="005554AE">
        <w:rPr>
          <w:rFonts w:ascii="Calibri" w:hAnsi="Calibri" w:cs="Calibri"/>
        </w:rPr>
        <w:t xml:space="preserve">According to the U.S. Small Business Administration’s Office of Advocacy, 77% of small employers and more than 90% of small businesses are organized as pass-throughs. IRS data shows that 25.9 million small businesses utilized this deduction in 2021. </w:t>
      </w:r>
    </w:p>
    <w:p w14:paraId="17AA86CE" w14:textId="77777777" w:rsidR="005554AE" w:rsidRDefault="005554AE" w:rsidP="005554AE">
      <w:pPr>
        <w:pStyle w:val="ListParagraph"/>
        <w:spacing w:line="240" w:lineRule="auto"/>
        <w:rPr>
          <w:rFonts w:ascii="Calibri" w:hAnsi="Calibri" w:cs="Calibri"/>
        </w:rPr>
      </w:pPr>
    </w:p>
    <w:p w14:paraId="4D0B1FBD" w14:textId="1C670921" w:rsidR="00206A69" w:rsidRPr="005554AE" w:rsidRDefault="00000000" w:rsidP="005554AE">
      <w:pPr>
        <w:pStyle w:val="ListParagraph"/>
        <w:numPr>
          <w:ilvl w:val="1"/>
          <w:numId w:val="1"/>
        </w:numPr>
        <w:spacing w:line="240" w:lineRule="auto"/>
        <w:rPr>
          <w:rFonts w:ascii="Calibri" w:hAnsi="Calibri" w:cs="Calibri"/>
        </w:rPr>
      </w:pPr>
      <w:r w:rsidRPr="005554AE">
        <w:rPr>
          <w:rFonts w:ascii="Calibri" w:hAnsi="Calibri" w:cs="Calibri"/>
        </w:rPr>
        <w:t xml:space="preserve">According to a recently published EY Study on the importance of the deduction, permanently extending </w:t>
      </w:r>
      <w:r w:rsidR="000A00D4">
        <w:rPr>
          <w:rFonts w:ascii="Calibri" w:hAnsi="Calibri" w:cs="Calibri"/>
        </w:rPr>
        <w:t>Section 199A</w:t>
      </w:r>
      <w:r w:rsidRPr="005554AE">
        <w:rPr>
          <w:rFonts w:ascii="Calibri" w:hAnsi="Calibri" w:cs="Calibri"/>
        </w:rPr>
        <w:t xml:space="preserve"> would increase jobs in the small business sector by 1.2 million jobs each year and by 2.4 million annually every year thereafter. The report also found that extending the </w:t>
      </w:r>
      <w:r w:rsidR="000A00D4">
        <w:rPr>
          <w:rFonts w:ascii="Calibri" w:hAnsi="Calibri" w:cs="Calibri"/>
        </w:rPr>
        <w:t>d</w:t>
      </w:r>
      <w:r w:rsidRPr="005554AE">
        <w:rPr>
          <w:rFonts w:ascii="Calibri" w:hAnsi="Calibri" w:cs="Calibri"/>
        </w:rPr>
        <w:t xml:space="preserve">eduction would result in a $750 billion GDP increase in the small business sector over the first ten years, and a $150 billion increase annually after that. This deduction will expire at the end of </w:t>
      </w:r>
      <w:r w:rsidR="000A00D4">
        <w:rPr>
          <w:rFonts w:ascii="Calibri" w:hAnsi="Calibri" w:cs="Calibri"/>
        </w:rPr>
        <w:t>2025</w:t>
      </w:r>
      <w:r w:rsidRPr="005554AE">
        <w:rPr>
          <w:rFonts w:ascii="Calibri" w:hAnsi="Calibri" w:cs="Calibri"/>
        </w:rPr>
        <w:t xml:space="preserve"> if Congress fails to act.  </w:t>
      </w:r>
    </w:p>
    <w:p w14:paraId="522D42AB" w14:textId="77777777" w:rsidR="00206A69" w:rsidRPr="005554AE" w:rsidRDefault="00206A69" w:rsidP="00206A69">
      <w:pPr>
        <w:pStyle w:val="ListParagraph"/>
        <w:spacing w:line="240" w:lineRule="auto"/>
        <w:rPr>
          <w:rFonts w:ascii="Calibri" w:hAnsi="Calibri" w:cs="Calibri"/>
        </w:rPr>
      </w:pPr>
    </w:p>
    <w:p w14:paraId="77BAC62C" w14:textId="77777777" w:rsidR="004C2A39" w:rsidRDefault="00000000" w:rsidP="004C2A39">
      <w:pPr>
        <w:pStyle w:val="ListParagraph"/>
        <w:numPr>
          <w:ilvl w:val="0"/>
          <w:numId w:val="1"/>
        </w:numPr>
        <w:spacing w:line="240" w:lineRule="auto"/>
        <w:rPr>
          <w:rFonts w:ascii="Calibri" w:hAnsi="Calibri" w:cs="Calibri"/>
        </w:rPr>
      </w:pPr>
      <w:r w:rsidRPr="005554AE">
        <w:rPr>
          <w:rFonts w:ascii="Calibri" w:hAnsi="Calibri" w:cs="Calibri"/>
          <w:b/>
          <w:bCs/>
        </w:rPr>
        <w:t>Restore 100% bonus depreciation</w:t>
      </w:r>
      <w:r w:rsidRPr="005554AE">
        <w:rPr>
          <w:rFonts w:ascii="Calibri" w:hAnsi="Calibri" w:cs="Calibri"/>
        </w:rPr>
        <w:t xml:space="preserve">. Next to their commitment to their employees, family-owned businesses rely on capital investments to compete, grow, and thrive. </w:t>
      </w:r>
      <w:r w:rsidR="00494B0A" w:rsidRPr="005554AE">
        <w:rPr>
          <w:rFonts w:ascii="Calibri" w:hAnsi="Calibri" w:cs="Calibri"/>
        </w:rPr>
        <w:t xml:space="preserve">100% </w:t>
      </w:r>
      <w:r w:rsidR="000A00D4">
        <w:rPr>
          <w:rFonts w:ascii="Calibri" w:hAnsi="Calibri" w:cs="Calibri"/>
        </w:rPr>
        <w:t>b</w:t>
      </w:r>
      <w:r w:rsidR="00494B0A" w:rsidRPr="005554AE">
        <w:rPr>
          <w:rFonts w:ascii="Calibri" w:hAnsi="Calibri" w:cs="Calibri"/>
        </w:rPr>
        <w:t xml:space="preserve">onus </w:t>
      </w:r>
      <w:r w:rsidR="000A00D4">
        <w:rPr>
          <w:rFonts w:ascii="Calibri" w:hAnsi="Calibri" w:cs="Calibri"/>
        </w:rPr>
        <w:t>d</w:t>
      </w:r>
      <w:r w:rsidR="00494B0A" w:rsidRPr="005554AE">
        <w:rPr>
          <w:rFonts w:ascii="Calibri" w:hAnsi="Calibri" w:cs="Calibri"/>
        </w:rPr>
        <w:t>epreciation allows businesses to immediately write off the full cost of qualifying assets (like equipment, furniture, and improvements) in the year placed in service, rather than depreciating over time.</w:t>
      </w:r>
      <w:r w:rsidRPr="005554AE">
        <w:rPr>
          <w:rFonts w:ascii="Calibri" w:hAnsi="Calibri" w:cs="Calibri"/>
        </w:rPr>
        <w:t xml:space="preserve"> </w:t>
      </w:r>
      <w:r w:rsidR="000A00D4">
        <w:rPr>
          <w:rFonts w:ascii="Calibri" w:hAnsi="Calibri" w:cs="Calibri"/>
        </w:rPr>
        <w:t>100% bonus depreciation enables small and family-owned businesses to invest in their businesses, boosting growth and productivity, and creating more jobs.</w:t>
      </w:r>
    </w:p>
    <w:p w14:paraId="78456063" w14:textId="77777777" w:rsidR="004C2A39" w:rsidRDefault="004C2A39" w:rsidP="004C2A39">
      <w:pPr>
        <w:pStyle w:val="ListParagraph"/>
        <w:spacing w:line="240" w:lineRule="auto"/>
        <w:rPr>
          <w:rFonts w:ascii="Calibri" w:hAnsi="Calibri" w:cs="Calibri"/>
        </w:rPr>
      </w:pPr>
    </w:p>
    <w:p w14:paraId="761308C0" w14:textId="05064DD7" w:rsidR="004C2A39" w:rsidRPr="004C2A39" w:rsidRDefault="00306D05" w:rsidP="004C2A39">
      <w:pPr>
        <w:pStyle w:val="ListParagraph"/>
        <w:numPr>
          <w:ilvl w:val="0"/>
          <w:numId w:val="1"/>
        </w:numPr>
        <w:spacing w:line="240" w:lineRule="auto"/>
        <w:rPr>
          <w:rFonts w:ascii="Calibri" w:hAnsi="Calibri" w:cs="Calibri"/>
        </w:rPr>
      </w:pPr>
      <w:r>
        <w:rPr>
          <w:rFonts w:ascii="Calibri" w:hAnsi="Calibri" w:cs="Calibri"/>
          <w:b/>
          <w:bCs/>
        </w:rPr>
        <w:t xml:space="preserve">Support the </w:t>
      </w:r>
      <w:r w:rsidR="000E06AD" w:rsidRPr="000E06AD">
        <w:rPr>
          <w:rFonts w:ascii="Calibri" w:hAnsi="Calibri" w:cs="Calibri"/>
          <w:b/>
          <w:bCs/>
        </w:rPr>
        <w:t>“Biodiesel Tax Credit Extension Act of 2025,” (H.R. 3137)</w:t>
      </w:r>
      <w:r w:rsidR="00BD3893">
        <w:rPr>
          <w:rFonts w:ascii="Calibri" w:hAnsi="Calibri" w:cs="Calibri"/>
        </w:rPr>
        <w:t xml:space="preserve"> sponsored by</w:t>
      </w:r>
      <w:r w:rsidR="002E08A3" w:rsidRPr="002E08A3">
        <w:rPr>
          <w:rFonts w:ascii="Calibri" w:hAnsi="Calibri" w:cs="Calibri"/>
        </w:rPr>
        <w:t xml:space="preserve"> Mike Carey (R-OH), Andrew Garbarino (R-NY), Dusty Johnson (R-SD), Mike Kelly (R-PA), Darin LaHood (R-IL), Mariannette Miller-Meeks (R-IA), Ashely Hinson (R-IA) and Claudia Tenney (R-NY)</w:t>
      </w:r>
      <w:r w:rsidR="00B706B1">
        <w:rPr>
          <w:rFonts w:ascii="Calibri" w:hAnsi="Calibri" w:cs="Calibri"/>
        </w:rPr>
        <w:t>.  The bill</w:t>
      </w:r>
      <w:r w:rsidR="002E08A3" w:rsidRPr="002E08A3">
        <w:rPr>
          <w:rFonts w:ascii="Calibri" w:hAnsi="Calibri" w:cs="Calibri"/>
        </w:rPr>
        <w:t xml:space="preserve"> aims to extend the $1 per </w:t>
      </w:r>
      <w:r w:rsidR="002E08A3" w:rsidRPr="002E08A3">
        <w:rPr>
          <w:rFonts w:ascii="Calibri" w:hAnsi="Calibri" w:cs="Calibri"/>
        </w:rPr>
        <w:lastRenderedPageBreak/>
        <w:t>gallon biodiesel blender’s tax credit through 2026. Extending the biodiesel blender’s tax credi</w:t>
      </w:r>
      <w:r w:rsidR="005C3AB3">
        <w:rPr>
          <w:rFonts w:ascii="Calibri" w:hAnsi="Calibri" w:cs="Calibri"/>
        </w:rPr>
        <w:t xml:space="preserve">t </w:t>
      </w:r>
      <w:r w:rsidR="00E32485">
        <w:rPr>
          <w:rFonts w:ascii="Calibri" w:hAnsi="Calibri" w:cs="Calibri"/>
        </w:rPr>
        <w:t xml:space="preserve">is </w:t>
      </w:r>
      <w:r w:rsidR="002E08A3" w:rsidRPr="002E08A3">
        <w:rPr>
          <w:rFonts w:ascii="Calibri" w:hAnsi="Calibri" w:cs="Calibri"/>
        </w:rPr>
        <w:t>important to energy marketers to sell a growing portfolio of affordable, efficient, and environmentally friendly liquid fuels that are helping to reduce emissions while propelling Americans forward and lowering heating fuel costs.</w:t>
      </w:r>
      <w:r w:rsidR="000E06AD">
        <w:rPr>
          <w:rFonts w:ascii="Calibri" w:hAnsi="Calibri" w:cs="Calibri"/>
        </w:rPr>
        <w:t xml:space="preserve">  </w:t>
      </w:r>
      <w:r w:rsidR="004C2A39" w:rsidRPr="004C2A39">
        <w:rPr>
          <w:rFonts w:ascii="Calibri" w:hAnsi="Calibri" w:cs="Calibri"/>
        </w:rPr>
        <w:t>Many biofuel production facilities, particularly biodiesel plants, have scaled back or are shutting down entirely.  A blenders tax credit remains the most effective mechanism to increase biofuel consumption––an energy priority of the administration, compared to the current 45Z production tax credit which contains structural deficiencies that will likely hinder increased consumption.</w:t>
      </w:r>
      <w:r w:rsidR="00046E23" w:rsidRPr="00046E23">
        <w:t xml:space="preserve"> </w:t>
      </w:r>
    </w:p>
    <w:p w14:paraId="5B6FF585" w14:textId="77777777" w:rsidR="00206A69" w:rsidRPr="005554AE" w:rsidRDefault="00206A69" w:rsidP="00206A69">
      <w:pPr>
        <w:pStyle w:val="ListParagraph"/>
        <w:spacing w:line="240" w:lineRule="auto"/>
        <w:rPr>
          <w:rFonts w:ascii="Calibri" w:hAnsi="Calibri" w:cs="Calibri"/>
        </w:rPr>
      </w:pPr>
    </w:p>
    <w:p w14:paraId="712ADE95" w14:textId="0CD37F2D" w:rsidR="00206A69" w:rsidRPr="005554AE" w:rsidRDefault="00000000" w:rsidP="00206A69">
      <w:pPr>
        <w:pStyle w:val="ListParagraph"/>
        <w:numPr>
          <w:ilvl w:val="0"/>
          <w:numId w:val="1"/>
        </w:numPr>
        <w:spacing w:line="240" w:lineRule="auto"/>
        <w:rPr>
          <w:rFonts w:ascii="Calibri" w:hAnsi="Calibri" w:cs="Calibri"/>
        </w:rPr>
      </w:pPr>
      <w:r w:rsidRPr="005554AE">
        <w:rPr>
          <w:rFonts w:ascii="Calibri" w:hAnsi="Calibri" w:cs="Calibri"/>
          <w:b/>
          <w:bCs/>
        </w:rPr>
        <w:t>Preserve the capital</w:t>
      </w:r>
      <w:r w:rsidR="000A00D4">
        <w:rPr>
          <w:rFonts w:ascii="Calibri" w:hAnsi="Calibri" w:cs="Calibri"/>
          <w:b/>
          <w:bCs/>
        </w:rPr>
        <w:t xml:space="preserve"> </w:t>
      </w:r>
      <w:r w:rsidRPr="005554AE">
        <w:rPr>
          <w:rFonts w:ascii="Calibri" w:hAnsi="Calibri" w:cs="Calibri"/>
          <w:b/>
          <w:bCs/>
        </w:rPr>
        <w:t>gains tax rate</w:t>
      </w:r>
      <w:r w:rsidRPr="005554AE">
        <w:rPr>
          <w:rFonts w:ascii="Calibri" w:hAnsi="Calibri" w:cs="Calibri"/>
        </w:rPr>
        <w:t>. Like the estate tax, capital</w:t>
      </w:r>
      <w:r w:rsidR="000A00D4">
        <w:rPr>
          <w:rFonts w:ascii="Calibri" w:hAnsi="Calibri" w:cs="Calibri"/>
        </w:rPr>
        <w:t xml:space="preserve"> </w:t>
      </w:r>
      <w:r w:rsidRPr="005554AE">
        <w:rPr>
          <w:rFonts w:ascii="Calibri" w:hAnsi="Calibri" w:cs="Calibri"/>
        </w:rPr>
        <w:t>gain</w:t>
      </w:r>
      <w:r w:rsidR="000A00D4">
        <w:rPr>
          <w:rFonts w:ascii="Calibri" w:hAnsi="Calibri" w:cs="Calibri"/>
        </w:rPr>
        <w:t>s</w:t>
      </w:r>
      <w:r w:rsidRPr="005554AE">
        <w:rPr>
          <w:rFonts w:ascii="Calibri" w:hAnsi="Calibri" w:cs="Calibri"/>
        </w:rPr>
        <w:t xml:space="preserve"> taxes present an obstacle for capital formation and investments necessary for family businesses to expand, modernize, and succeed in an increasingly competitive market. </w:t>
      </w:r>
    </w:p>
    <w:p w14:paraId="00F66CCE" w14:textId="77777777" w:rsidR="00494B0A" w:rsidRPr="005554AE" w:rsidRDefault="00494B0A" w:rsidP="00494B0A">
      <w:pPr>
        <w:pStyle w:val="ListParagraph"/>
        <w:rPr>
          <w:rFonts w:ascii="Calibri" w:hAnsi="Calibri" w:cs="Calibri"/>
        </w:rPr>
      </w:pPr>
    </w:p>
    <w:p w14:paraId="648C99D5" w14:textId="28C2A2D6" w:rsidR="00494B0A" w:rsidRPr="005554AE" w:rsidRDefault="00000000" w:rsidP="00206A69">
      <w:pPr>
        <w:pStyle w:val="ListParagraph"/>
        <w:numPr>
          <w:ilvl w:val="0"/>
          <w:numId w:val="1"/>
        </w:numPr>
        <w:spacing w:line="240" w:lineRule="auto"/>
        <w:rPr>
          <w:rFonts w:ascii="Calibri" w:hAnsi="Calibri" w:cs="Calibri"/>
        </w:rPr>
      </w:pPr>
      <w:r w:rsidRPr="005554AE">
        <w:rPr>
          <w:rFonts w:ascii="Calibri" w:hAnsi="Calibri" w:cs="Calibri"/>
          <w:b/>
          <w:bCs/>
        </w:rPr>
        <w:t>Reinstate the Business Interest Deduction Limitation (EBITDA Standard).</w:t>
      </w:r>
      <w:r w:rsidRPr="005554AE">
        <w:rPr>
          <w:rFonts w:ascii="Calibri" w:hAnsi="Calibri" w:cs="Calibri"/>
        </w:rPr>
        <w:t xml:space="preserve"> From 2018–2021, the limit was calculated using EBITDA (earnings before interest, taxes, depreciation, and amortization), which allowed for a higher deduction</w:t>
      </w:r>
      <w:r w:rsidR="000A00D4">
        <w:rPr>
          <w:rFonts w:ascii="Calibri" w:hAnsi="Calibri" w:cs="Calibri"/>
        </w:rPr>
        <w:t xml:space="preserve"> for businesses</w:t>
      </w:r>
      <w:r w:rsidRPr="005554AE">
        <w:rPr>
          <w:rFonts w:ascii="Calibri" w:hAnsi="Calibri" w:cs="Calibri"/>
        </w:rPr>
        <w:t xml:space="preserve">.  In 2022, </w:t>
      </w:r>
      <w:r w:rsidR="000A00D4">
        <w:rPr>
          <w:rFonts w:ascii="Calibri" w:hAnsi="Calibri" w:cs="Calibri"/>
        </w:rPr>
        <w:t>the limitation transitioned</w:t>
      </w:r>
      <w:r w:rsidRPr="005554AE">
        <w:rPr>
          <w:rFonts w:ascii="Calibri" w:hAnsi="Calibri" w:cs="Calibri"/>
        </w:rPr>
        <w:t xml:space="preserve"> to EBIT (excluding depreciation and amortization), effectively tightening the cap. This change has made financing more expensive for capital-intensive businesses, particularly those relying on debt for expansion. Reinstating the EBITDA standard would ease this burden and promote investment.</w:t>
      </w:r>
    </w:p>
    <w:p w14:paraId="5BEC68C9" w14:textId="77777777" w:rsidR="00206A69" w:rsidRPr="005554AE" w:rsidRDefault="00206A69" w:rsidP="00206A69">
      <w:pPr>
        <w:pStyle w:val="ListParagraph"/>
        <w:spacing w:line="240" w:lineRule="auto"/>
        <w:rPr>
          <w:rFonts w:ascii="Calibri" w:hAnsi="Calibri" w:cs="Calibri"/>
        </w:rPr>
      </w:pPr>
    </w:p>
    <w:p w14:paraId="22A37CD3" w14:textId="4DEDBC24" w:rsidR="00206A69" w:rsidRPr="005554AE" w:rsidRDefault="00000000" w:rsidP="0071036E">
      <w:pPr>
        <w:pStyle w:val="ListParagraph"/>
        <w:numPr>
          <w:ilvl w:val="0"/>
          <w:numId w:val="1"/>
        </w:numPr>
        <w:spacing w:line="240" w:lineRule="auto"/>
        <w:rPr>
          <w:rFonts w:ascii="Calibri" w:hAnsi="Calibri" w:cs="Calibri"/>
        </w:rPr>
      </w:pPr>
      <w:r w:rsidRPr="005554AE">
        <w:rPr>
          <w:rFonts w:ascii="Calibri" w:hAnsi="Calibri" w:cs="Calibri"/>
          <w:b/>
          <w:bCs/>
        </w:rPr>
        <w:t>P</w:t>
      </w:r>
      <w:r w:rsidR="0071036E" w:rsidRPr="005554AE">
        <w:rPr>
          <w:rFonts w:ascii="Calibri" w:hAnsi="Calibri" w:cs="Calibri"/>
          <w:b/>
          <w:bCs/>
        </w:rPr>
        <w:t>reserve the current tax rates and brackets enacted under the T</w:t>
      </w:r>
      <w:r w:rsidR="00494B0A" w:rsidRPr="005554AE">
        <w:rPr>
          <w:rFonts w:ascii="Calibri" w:hAnsi="Calibri" w:cs="Calibri"/>
          <w:b/>
          <w:bCs/>
        </w:rPr>
        <w:t>CJA</w:t>
      </w:r>
      <w:r w:rsidR="0071036E" w:rsidRPr="005554AE">
        <w:rPr>
          <w:rFonts w:ascii="Calibri" w:hAnsi="Calibri" w:cs="Calibri"/>
        </w:rPr>
        <w:t xml:space="preserve">. </w:t>
      </w:r>
      <w:r w:rsidR="005554AE" w:rsidRPr="005554AE">
        <w:rPr>
          <w:rFonts w:ascii="Calibri" w:hAnsi="Calibri" w:cs="Calibri"/>
        </w:rPr>
        <w:t>The 2017 tax law reduced five out of seven individual income tax rates. This adjustment directly impacts nine out of 10 small businesses organized as pass-through entities, as their income is taxed according</w:t>
      </w:r>
      <w:r w:rsidR="00B13780">
        <w:rPr>
          <w:rFonts w:ascii="Calibri" w:hAnsi="Calibri" w:cs="Calibri"/>
        </w:rPr>
        <w:t xml:space="preserve"> to individual income tax brackets</w:t>
      </w:r>
      <w:r w:rsidR="005554AE" w:rsidRPr="005554AE">
        <w:rPr>
          <w:rFonts w:ascii="Calibri" w:hAnsi="Calibri" w:cs="Calibri"/>
        </w:rPr>
        <w:t>. With these adjustments set to expire at the end of 2025, 90</w:t>
      </w:r>
      <w:r w:rsidR="005554AE">
        <w:rPr>
          <w:rFonts w:ascii="Calibri" w:hAnsi="Calibri" w:cs="Calibri"/>
        </w:rPr>
        <w:t xml:space="preserve"> percent</w:t>
      </w:r>
      <w:r w:rsidR="005554AE" w:rsidRPr="005554AE">
        <w:rPr>
          <w:rFonts w:ascii="Calibri" w:hAnsi="Calibri" w:cs="Calibri"/>
        </w:rPr>
        <w:t xml:space="preserve"> of small businesses will see their effective tax rates increase significantly.</w:t>
      </w:r>
    </w:p>
    <w:p w14:paraId="7A1FC88D" w14:textId="77777777" w:rsidR="00206A69" w:rsidRPr="005554AE" w:rsidRDefault="00206A69" w:rsidP="00206A69">
      <w:pPr>
        <w:pStyle w:val="ListParagraph"/>
        <w:spacing w:line="240" w:lineRule="auto"/>
        <w:rPr>
          <w:rFonts w:ascii="Calibri" w:hAnsi="Calibri" w:cs="Calibri"/>
        </w:rPr>
      </w:pPr>
    </w:p>
    <w:p w14:paraId="1D86E6D9" w14:textId="1D865DBD" w:rsidR="00206A69" w:rsidRPr="005554AE" w:rsidRDefault="00000000" w:rsidP="0071036E">
      <w:pPr>
        <w:pStyle w:val="ListParagraph"/>
        <w:numPr>
          <w:ilvl w:val="0"/>
          <w:numId w:val="1"/>
        </w:numPr>
        <w:spacing w:line="240" w:lineRule="auto"/>
        <w:rPr>
          <w:rFonts w:ascii="Calibri" w:hAnsi="Calibri" w:cs="Calibri"/>
        </w:rPr>
      </w:pPr>
      <w:r w:rsidRPr="005554AE">
        <w:rPr>
          <w:rFonts w:ascii="Calibri" w:hAnsi="Calibri" w:cs="Calibri"/>
          <w:b/>
          <w:bCs/>
        </w:rPr>
        <w:t>Reduce</w:t>
      </w:r>
      <w:r w:rsidR="005554AE">
        <w:rPr>
          <w:rFonts w:ascii="Calibri" w:hAnsi="Calibri" w:cs="Calibri"/>
          <w:b/>
          <w:bCs/>
        </w:rPr>
        <w:t xml:space="preserve"> and/or repeal</w:t>
      </w:r>
      <w:r w:rsidRPr="005554AE">
        <w:rPr>
          <w:rFonts w:ascii="Calibri" w:hAnsi="Calibri" w:cs="Calibri"/>
          <w:b/>
          <w:bCs/>
        </w:rPr>
        <w:t xml:space="preserve"> the estate tax rate</w:t>
      </w:r>
      <w:r w:rsidRPr="005554AE">
        <w:rPr>
          <w:rFonts w:ascii="Calibri" w:hAnsi="Calibri" w:cs="Calibri"/>
        </w:rPr>
        <w:t xml:space="preserve">. </w:t>
      </w:r>
      <w:r w:rsidR="00B13780">
        <w:rPr>
          <w:rFonts w:ascii="Calibri" w:hAnsi="Calibri" w:cs="Calibri"/>
        </w:rPr>
        <w:t>The e</w:t>
      </w:r>
      <w:r w:rsidRPr="005554AE">
        <w:rPr>
          <w:rFonts w:ascii="Calibri" w:hAnsi="Calibri" w:cs="Calibri"/>
        </w:rPr>
        <w:t>state tax</w:t>
      </w:r>
      <w:r w:rsidR="00B13780">
        <w:rPr>
          <w:rFonts w:ascii="Calibri" w:hAnsi="Calibri" w:cs="Calibri"/>
        </w:rPr>
        <w:t xml:space="preserve"> – commonly known as the Death Tax --</w:t>
      </w:r>
      <w:r w:rsidRPr="005554AE">
        <w:rPr>
          <w:rFonts w:ascii="Calibri" w:hAnsi="Calibri" w:cs="Calibri"/>
        </w:rPr>
        <w:t xml:space="preserve"> severely hamper</w:t>
      </w:r>
      <w:r w:rsidR="00B13780">
        <w:rPr>
          <w:rFonts w:ascii="Calibri" w:hAnsi="Calibri" w:cs="Calibri"/>
        </w:rPr>
        <w:t>s</w:t>
      </w:r>
      <w:r w:rsidRPr="005554AE">
        <w:rPr>
          <w:rFonts w:ascii="Calibri" w:hAnsi="Calibri" w:cs="Calibri"/>
        </w:rPr>
        <w:t xml:space="preserve"> the ability for family business owners to pass the business and related assets (which are typically illiquid) to the next generation, making it more difficult for the business to continue growing, providing important jobs, and contributing to local communities. </w:t>
      </w:r>
      <w:r w:rsidR="005554AE" w:rsidRPr="005554AE">
        <w:rPr>
          <w:rFonts w:ascii="Calibri" w:hAnsi="Calibri" w:cs="Calibri"/>
        </w:rPr>
        <w:t>The T</w:t>
      </w:r>
      <w:r w:rsidR="005554AE">
        <w:rPr>
          <w:rFonts w:ascii="Calibri" w:hAnsi="Calibri" w:cs="Calibri"/>
        </w:rPr>
        <w:t>CJA</w:t>
      </w:r>
      <w:r w:rsidR="005554AE" w:rsidRPr="005554AE">
        <w:rPr>
          <w:rFonts w:ascii="Calibri" w:hAnsi="Calibri" w:cs="Calibri"/>
        </w:rPr>
        <w:t xml:space="preserve"> </w:t>
      </w:r>
      <w:r w:rsidR="00B13780">
        <w:rPr>
          <w:rFonts w:ascii="Calibri" w:hAnsi="Calibri" w:cs="Calibri"/>
        </w:rPr>
        <w:t>doubled</w:t>
      </w:r>
      <w:r w:rsidR="00B13780" w:rsidRPr="005554AE">
        <w:rPr>
          <w:rFonts w:ascii="Calibri" w:hAnsi="Calibri" w:cs="Calibri"/>
        </w:rPr>
        <w:t xml:space="preserve"> </w:t>
      </w:r>
      <w:r w:rsidR="005554AE" w:rsidRPr="005554AE">
        <w:rPr>
          <w:rFonts w:ascii="Calibri" w:hAnsi="Calibri" w:cs="Calibri"/>
        </w:rPr>
        <w:t>the estate tax exemption from $5.5 million for individuals and $11.1 million for those filing jointly</w:t>
      </w:r>
      <w:r w:rsidR="00B13780">
        <w:rPr>
          <w:rFonts w:ascii="Calibri" w:hAnsi="Calibri" w:cs="Calibri"/>
        </w:rPr>
        <w:t xml:space="preserve"> in 2017 to $11.4 million for individuals and $22.8 million for joint filers through 2025 (adjusted annually for inflation)</w:t>
      </w:r>
      <w:r w:rsidR="005554AE" w:rsidRPr="005554AE">
        <w:rPr>
          <w:rFonts w:ascii="Calibri" w:hAnsi="Calibri" w:cs="Calibri"/>
        </w:rPr>
        <w:t xml:space="preserve">. The increase had the effect of exempting more small family businesses from the reach of the estate tax. For tax year 2025, the exclusion was increased to $13.99 million for individuals and $27.98 million for those filing jointly. </w:t>
      </w:r>
      <w:r w:rsidR="00B13780">
        <w:rPr>
          <w:rFonts w:ascii="Calibri" w:hAnsi="Calibri" w:cs="Calibri"/>
        </w:rPr>
        <w:t xml:space="preserve">TCJA’s increase to the exemption level </w:t>
      </w:r>
      <w:r w:rsidR="005554AE" w:rsidRPr="005554AE">
        <w:rPr>
          <w:rFonts w:ascii="Calibri" w:hAnsi="Calibri" w:cs="Calibri"/>
        </w:rPr>
        <w:t>expires at the end of 2025, cut</w:t>
      </w:r>
      <w:r w:rsidR="00B13780">
        <w:rPr>
          <w:rFonts w:ascii="Calibri" w:hAnsi="Calibri" w:cs="Calibri"/>
        </w:rPr>
        <w:t>ting the exemption</w:t>
      </w:r>
      <w:r w:rsidR="005554AE" w:rsidRPr="005554AE">
        <w:rPr>
          <w:rFonts w:ascii="Calibri" w:hAnsi="Calibri" w:cs="Calibri"/>
        </w:rPr>
        <w:t xml:space="preserve"> in half, </w:t>
      </w:r>
      <w:r w:rsidR="00B13780">
        <w:rPr>
          <w:rFonts w:ascii="Calibri" w:hAnsi="Calibri" w:cs="Calibri"/>
        </w:rPr>
        <w:t xml:space="preserve">subjecting more family-owned businesses to the estate tax and </w:t>
      </w:r>
      <w:r w:rsidR="005554AE" w:rsidRPr="005554AE">
        <w:rPr>
          <w:rFonts w:ascii="Calibri" w:hAnsi="Calibri" w:cs="Calibri"/>
        </w:rPr>
        <w:t>hindering business growth and expansion.</w:t>
      </w:r>
    </w:p>
    <w:p w14:paraId="5B52D870" w14:textId="77777777" w:rsidR="00206A69" w:rsidRPr="005554AE" w:rsidRDefault="00206A69" w:rsidP="00206A69">
      <w:pPr>
        <w:pStyle w:val="ListParagraph"/>
        <w:rPr>
          <w:rFonts w:ascii="Calibri" w:hAnsi="Calibri" w:cs="Calibri"/>
        </w:rPr>
      </w:pPr>
    </w:p>
    <w:p w14:paraId="3BB36BCB" w14:textId="5E3B8CBC" w:rsidR="00494B0A" w:rsidRPr="005554AE" w:rsidRDefault="00000000" w:rsidP="00494B0A">
      <w:pPr>
        <w:spacing w:after="0" w:line="259" w:lineRule="auto"/>
        <w:rPr>
          <w:rFonts w:ascii="Calibri" w:eastAsia="Constantia" w:hAnsi="Calibri" w:cs="Calibri"/>
          <w:i/>
          <w:color w:val="000000"/>
        </w:rPr>
      </w:pPr>
      <w:r w:rsidRPr="00494B0A">
        <w:rPr>
          <w:rFonts w:ascii="Calibri" w:eastAsia="Constantia" w:hAnsi="Calibri" w:cs="Calibri"/>
          <w:color w:val="000000"/>
        </w:rPr>
        <w:t>(</w:t>
      </w:r>
      <w:r w:rsidRPr="00494B0A">
        <w:rPr>
          <w:rFonts w:ascii="Calibri" w:eastAsia="Constantia" w:hAnsi="Calibri" w:cs="Calibri"/>
          <w:i/>
          <w:color w:val="000000"/>
        </w:rPr>
        <w:t xml:space="preserve">Committees: House </w:t>
      </w:r>
      <w:r w:rsidR="005554AE" w:rsidRPr="005554AE">
        <w:rPr>
          <w:rFonts w:ascii="Calibri" w:eastAsia="Constantia" w:hAnsi="Calibri" w:cs="Calibri"/>
          <w:i/>
          <w:color w:val="000000"/>
        </w:rPr>
        <w:t>Ways and Means</w:t>
      </w:r>
      <w:r w:rsidRPr="00494B0A">
        <w:rPr>
          <w:rFonts w:ascii="Calibri" w:eastAsia="Constantia" w:hAnsi="Calibri" w:cs="Calibri"/>
          <w:i/>
          <w:color w:val="000000"/>
        </w:rPr>
        <w:t xml:space="preserve">, Senate </w:t>
      </w:r>
      <w:r w:rsidR="005554AE" w:rsidRPr="005554AE">
        <w:rPr>
          <w:rFonts w:ascii="Calibri" w:eastAsia="Constantia" w:hAnsi="Calibri" w:cs="Calibri"/>
          <w:i/>
          <w:color w:val="000000"/>
        </w:rPr>
        <w:t>Finance</w:t>
      </w:r>
      <w:r w:rsidRPr="00494B0A">
        <w:rPr>
          <w:rFonts w:ascii="Calibri" w:eastAsia="Constantia" w:hAnsi="Calibri" w:cs="Calibri"/>
          <w:i/>
          <w:color w:val="000000"/>
        </w:rPr>
        <w:t xml:space="preserve"> Committee, All Lawmakers) </w:t>
      </w:r>
    </w:p>
    <w:p w14:paraId="050B3EFE" w14:textId="24AD23EC" w:rsidR="00494B0A" w:rsidRPr="00494B0A" w:rsidRDefault="00000000" w:rsidP="00494B0A">
      <w:pPr>
        <w:spacing w:after="1" w:line="237" w:lineRule="auto"/>
        <w:rPr>
          <w:rFonts w:ascii="Calibri" w:eastAsia="Constantia" w:hAnsi="Calibri" w:cs="Calibri"/>
          <w:color w:val="0939A6"/>
        </w:rPr>
      </w:pPr>
      <w:r w:rsidRPr="00494B0A">
        <w:rPr>
          <w:rFonts w:ascii="Calibri" w:eastAsia="Constantia" w:hAnsi="Calibri" w:cs="Calibri"/>
          <w:color w:val="0939A6"/>
        </w:rPr>
        <w:t>__________________________________________________________________________________________</w:t>
      </w:r>
    </w:p>
    <w:p w14:paraId="1B7C4FAC" w14:textId="66353298" w:rsidR="00494B0A" w:rsidRPr="00494B0A" w:rsidRDefault="00000000" w:rsidP="00494B0A">
      <w:pPr>
        <w:spacing w:after="1" w:line="237" w:lineRule="auto"/>
        <w:rPr>
          <w:rFonts w:ascii="Calibri" w:eastAsia="Constantia" w:hAnsi="Calibri" w:cs="Calibri"/>
          <w:color w:val="000000"/>
        </w:rPr>
      </w:pPr>
      <w:r w:rsidRPr="00494B0A">
        <w:rPr>
          <w:rFonts w:ascii="Calibri" w:eastAsia="Constantia" w:hAnsi="Calibri" w:cs="Calibri"/>
          <w:b/>
          <w:color w:val="0070C0"/>
        </w:rPr>
        <w:t xml:space="preserve">EMA Staff Contact: </w:t>
      </w:r>
      <w:r w:rsidRPr="00494B0A">
        <w:rPr>
          <w:rFonts w:ascii="Calibri" w:eastAsia="Constantia" w:hAnsi="Calibri" w:cs="Calibri"/>
          <w:color w:val="000000"/>
        </w:rPr>
        <w:t xml:space="preserve">Rob Underwood, </w:t>
      </w:r>
      <w:hyperlink r:id="rId8" w:history="1">
        <w:r w:rsidR="004918AF" w:rsidRPr="006E287F">
          <w:rPr>
            <w:rStyle w:val="Hyperlink"/>
            <w:rFonts w:ascii="Calibri" w:eastAsia="Constantia" w:hAnsi="Calibri" w:cs="Calibri"/>
          </w:rPr>
          <w:t>runderwood@emamerica.org</w:t>
        </w:r>
      </w:hyperlink>
      <w:r w:rsidRPr="00494B0A">
        <w:rPr>
          <w:rFonts w:ascii="Calibri" w:eastAsia="Constantia" w:hAnsi="Calibri" w:cs="Calibri"/>
          <w:color w:val="000000"/>
        </w:rPr>
        <w:t>,</w:t>
      </w:r>
      <w:r w:rsidR="004918AF">
        <w:rPr>
          <w:rFonts w:ascii="Calibri" w:eastAsia="Constantia" w:hAnsi="Calibri" w:cs="Calibri"/>
          <w:color w:val="000000"/>
        </w:rPr>
        <w:t xml:space="preserve"> </w:t>
      </w:r>
      <w:r w:rsidRPr="00494B0A">
        <w:rPr>
          <w:rFonts w:ascii="Calibri" w:eastAsia="Constantia" w:hAnsi="Calibri" w:cs="Calibri"/>
          <w:color w:val="000000"/>
        </w:rPr>
        <w:t xml:space="preserve">Austin Harrison, </w:t>
      </w:r>
      <w:r w:rsidRPr="00494B0A">
        <w:rPr>
          <w:rFonts w:ascii="Calibri" w:eastAsia="Constantia" w:hAnsi="Calibri" w:cs="Calibri"/>
          <w:color w:val="0000FF"/>
          <w:u w:val="single" w:color="0000FF"/>
        </w:rPr>
        <w:t>Austin.harrison@squirepb.com</w:t>
      </w:r>
      <w:r w:rsidRPr="00494B0A">
        <w:rPr>
          <w:rFonts w:ascii="Calibri" w:eastAsia="Constantia" w:hAnsi="Calibri" w:cs="Calibri"/>
          <w:color w:val="000000"/>
        </w:rPr>
        <w:t xml:space="preserve">  </w:t>
      </w:r>
    </w:p>
    <w:p w14:paraId="182C0ED7" w14:textId="3B1B1117" w:rsidR="00042274" w:rsidRPr="005554AE" w:rsidRDefault="00042274" w:rsidP="00A613D6">
      <w:pPr>
        <w:spacing w:line="240" w:lineRule="auto"/>
        <w:contextualSpacing/>
        <w:rPr>
          <w:rFonts w:ascii="Calibri" w:hAnsi="Calibri" w:cs="Calibri"/>
        </w:rPr>
      </w:pPr>
    </w:p>
    <w:sectPr w:rsidR="00042274" w:rsidRPr="005554AE" w:rsidSect="005554AE">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598F5" w14:textId="77777777" w:rsidR="002B1262" w:rsidRDefault="002B1262">
      <w:pPr>
        <w:spacing w:after="0" w:line="240" w:lineRule="auto"/>
      </w:pPr>
      <w:r>
        <w:separator/>
      </w:r>
    </w:p>
  </w:endnote>
  <w:endnote w:type="continuationSeparator" w:id="0">
    <w:p w14:paraId="7531DD41" w14:textId="77777777" w:rsidR="002B1262" w:rsidRDefault="002B1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C8F9C" w14:textId="77777777" w:rsidR="00AD2EB2" w:rsidRDefault="00AD2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D563A" w14:textId="77777777" w:rsidR="00AD2EB2" w:rsidRDefault="00AD2E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1D66" w14:textId="77777777" w:rsidR="00AD2EB2" w:rsidRDefault="00AD2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06F75" w14:textId="77777777" w:rsidR="002B1262" w:rsidRDefault="002B1262">
      <w:pPr>
        <w:spacing w:after="0" w:line="240" w:lineRule="auto"/>
      </w:pPr>
      <w:r>
        <w:separator/>
      </w:r>
    </w:p>
  </w:footnote>
  <w:footnote w:type="continuationSeparator" w:id="0">
    <w:p w14:paraId="115F20F6" w14:textId="77777777" w:rsidR="002B1262" w:rsidRDefault="002B12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DC43D" w14:textId="77777777" w:rsidR="00AD2EB2" w:rsidRDefault="00AD2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17E33" w14:textId="77777777" w:rsidR="00AD2EB2" w:rsidRDefault="00AD2E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5E505" w14:textId="77777777" w:rsidR="00AD2EB2" w:rsidRDefault="00AD2E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52716D"/>
    <w:multiLevelType w:val="hybridMultilevel"/>
    <w:tmpl w:val="4D2AB38A"/>
    <w:lvl w:ilvl="0" w:tplc="B35EAF10">
      <w:start w:val="1"/>
      <w:numFmt w:val="bullet"/>
      <w:lvlText w:val=""/>
      <w:lvlJc w:val="left"/>
      <w:pPr>
        <w:ind w:left="720" w:hanging="360"/>
      </w:pPr>
      <w:rPr>
        <w:rFonts w:ascii="Symbol" w:hAnsi="Symbol" w:hint="default"/>
      </w:rPr>
    </w:lvl>
    <w:lvl w:ilvl="1" w:tplc="6A4A2F46">
      <w:start w:val="1"/>
      <w:numFmt w:val="bullet"/>
      <w:lvlText w:val="o"/>
      <w:lvlJc w:val="left"/>
      <w:pPr>
        <w:ind w:left="1440" w:hanging="360"/>
      </w:pPr>
      <w:rPr>
        <w:rFonts w:ascii="Courier New" w:hAnsi="Courier New" w:cs="Courier New" w:hint="default"/>
      </w:rPr>
    </w:lvl>
    <w:lvl w:ilvl="2" w:tplc="0A387B92" w:tentative="1">
      <w:start w:val="1"/>
      <w:numFmt w:val="bullet"/>
      <w:lvlText w:val=""/>
      <w:lvlJc w:val="left"/>
      <w:pPr>
        <w:ind w:left="2160" w:hanging="360"/>
      </w:pPr>
      <w:rPr>
        <w:rFonts w:ascii="Wingdings" w:hAnsi="Wingdings" w:hint="default"/>
      </w:rPr>
    </w:lvl>
    <w:lvl w:ilvl="3" w:tplc="0CAC7420" w:tentative="1">
      <w:start w:val="1"/>
      <w:numFmt w:val="bullet"/>
      <w:lvlText w:val=""/>
      <w:lvlJc w:val="left"/>
      <w:pPr>
        <w:ind w:left="2880" w:hanging="360"/>
      </w:pPr>
      <w:rPr>
        <w:rFonts w:ascii="Symbol" w:hAnsi="Symbol" w:hint="default"/>
      </w:rPr>
    </w:lvl>
    <w:lvl w:ilvl="4" w:tplc="825EAE2A" w:tentative="1">
      <w:start w:val="1"/>
      <w:numFmt w:val="bullet"/>
      <w:lvlText w:val="o"/>
      <w:lvlJc w:val="left"/>
      <w:pPr>
        <w:ind w:left="3600" w:hanging="360"/>
      </w:pPr>
      <w:rPr>
        <w:rFonts w:ascii="Courier New" w:hAnsi="Courier New" w:cs="Courier New" w:hint="default"/>
      </w:rPr>
    </w:lvl>
    <w:lvl w:ilvl="5" w:tplc="0CB4AE9E" w:tentative="1">
      <w:start w:val="1"/>
      <w:numFmt w:val="bullet"/>
      <w:lvlText w:val=""/>
      <w:lvlJc w:val="left"/>
      <w:pPr>
        <w:ind w:left="4320" w:hanging="360"/>
      </w:pPr>
      <w:rPr>
        <w:rFonts w:ascii="Wingdings" w:hAnsi="Wingdings" w:hint="default"/>
      </w:rPr>
    </w:lvl>
    <w:lvl w:ilvl="6" w:tplc="6A0852AC" w:tentative="1">
      <w:start w:val="1"/>
      <w:numFmt w:val="bullet"/>
      <w:lvlText w:val=""/>
      <w:lvlJc w:val="left"/>
      <w:pPr>
        <w:ind w:left="5040" w:hanging="360"/>
      </w:pPr>
      <w:rPr>
        <w:rFonts w:ascii="Symbol" w:hAnsi="Symbol" w:hint="default"/>
      </w:rPr>
    </w:lvl>
    <w:lvl w:ilvl="7" w:tplc="EABA6002" w:tentative="1">
      <w:start w:val="1"/>
      <w:numFmt w:val="bullet"/>
      <w:lvlText w:val="o"/>
      <w:lvlJc w:val="left"/>
      <w:pPr>
        <w:ind w:left="5760" w:hanging="360"/>
      </w:pPr>
      <w:rPr>
        <w:rFonts w:ascii="Courier New" w:hAnsi="Courier New" w:cs="Courier New" w:hint="default"/>
      </w:rPr>
    </w:lvl>
    <w:lvl w:ilvl="8" w:tplc="B1F0C48E" w:tentative="1">
      <w:start w:val="1"/>
      <w:numFmt w:val="bullet"/>
      <w:lvlText w:val=""/>
      <w:lvlJc w:val="left"/>
      <w:pPr>
        <w:ind w:left="6480" w:hanging="360"/>
      </w:pPr>
      <w:rPr>
        <w:rFonts w:ascii="Wingdings" w:hAnsi="Wingdings" w:hint="default"/>
      </w:rPr>
    </w:lvl>
  </w:abstractNum>
  <w:num w:numId="1" w16cid:durableId="798033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3D6"/>
    <w:rsid w:val="00042274"/>
    <w:rsid w:val="00046E23"/>
    <w:rsid w:val="0007286F"/>
    <w:rsid w:val="00080A49"/>
    <w:rsid w:val="000A00D4"/>
    <w:rsid w:val="000E06AD"/>
    <w:rsid w:val="000E415E"/>
    <w:rsid w:val="001C5854"/>
    <w:rsid w:val="00206A69"/>
    <w:rsid w:val="00244A8A"/>
    <w:rsid w:val="002B1262"/>
    <w:rsid w:val="002E08A3"/>
    <w:rsid w:val="00306D05"/>
    <w:rsid w:val="003609C1"/>
    <w:rsid w:val="004918AF"/>
    <w:rsid w:val="00494B0A"/>
    <w:rsid w:val="004C2A39"/>
    <w:rsid w:val="005554AE"/>
    <w:rsid w:val="005C3AB3"/>
    <w:rsid w:val="0071036E"/>
    <w:rsid w:val="007B1E21"/>
    <w:rsid w:val="00A078C0"/>
    <w:rsid w:val="00A613D6"/>
    <w:rsid w:val="00AD2EB2"/>
    <w:rsid w:val="00B13780"/>
    <w:rsid w:val="00B706B1"/>
    <w:rsid w:val="00BD3893"/>
    <w:rsid w:val="00C24B8F"/>
    <w:rsid w:val="00CD0F73"/>
    <w:rsid w:val="00D9302B"/>
    <w:rsid w:val="00E32485"/>
    <w:rsid w:val="00ED2FB4"/>
    <w:rsid w:val="00F42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0D553"/>
  <w15:chartTrackingRefBased/>
  <w15:docId w15:val="{ED7C77B8-5F73-4C48-A2A8-77709E1A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1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13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13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13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13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13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13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13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3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13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13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13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13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13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13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13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13D6"/>
    <w:rPr>
      <w:rFonts w:eastAsiaTheme="majorEastAsia" w:cstheme="majorBidi"/>
      <w:color w:val="272727" w:themeColor="text1" w:themeTint="D8"/>
    </w:rPr>
  </w:style>
  <w:style w:type="paragraph" w:styleId="Title">
    <w:name w:val="Title"/>
    <w:basedOn w:val="Normal"/>
    <w:next w:val="Normal"/>
    <w:link w:val="TitleChar"/>
    <w:uiPriority w:val="10"/>
    <w:qFormat/>
    <w:rsid w:val="00A61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3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13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3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13D6"/>
    <w:pPr>
      <w:spacing w:before="160"/>
      <w:jc w:val="center"/>
    </w:pPr>
    <w:rPr>
      <w:i/>
      <w:iCs/>
      <w:color w:val="404040" w:themeColor="text1" w:themeTint="BF"/>
    </w:rPr>
  </w:style>
  <w:style w:type="character" w:customStyle="1" w:styleId="QuoteChar">
    <w:name w:val="Quote Char"/>
    <w:basedOn w:val="DefaultParagraphFont"/>
    <w:link w:val="Quote"/>
    <w:uiPriority w:val="29"/>
    <w:rsid w:val="00A613D6"/>
    <w:rPr>
      <w:i/>
      <w:iCs/>
      <w:color w:val="404040" w:themeColor="text1" w:themeTint="BF"/>
    </w:rPr>
  </w:style>
  <w:style w:type="paragraph" w:styleId="ListParagraph">
    <w:name w:val="List Paragraph"/>
    <w:basedOn w:val="Normal"/>
    <w:uiPriority w:val="34"/>
    <w:qFormat/>
    <w:rsid w:val="00A613D6"/>
    <w:pPr>
      <w:ind w:left="720"/>
      <w:contextualSpacing/>
    </w:pPr>
  </w:style>
  <w:style w:type="character" w:styleId="IntenseEmphasis">
    <w:name w:val="Intense Emphasis"/>
    <w:basedOn w:val="DefaultParagraphFont"/>
    <w:uiPriority w:val="21"/>
    <w:qFormat/>
    <w:rsid w:val="00A613D6"/>
    <w:rPr>
      <w:i/>
      <w:iCs/>
      <w:color w:val="0F4761" w:themeColor="accent1" w:themeShade="BF"/>
    </w:rPr>
  </w:style>
  <w:style w:type="paragraph" w:styleId="IntenseQuote">
    <w:name w:val="Intense Quote"/>
    <w:basedOn w:val="Normal"/>
    <w:next w:val="Normal"/>
    <w:link w:val="IntenseQuoteChar"/>
    <w:uiPriority w:val="30"/>
    <w:qFormat/>
    <w:rsid w:val="00A61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13D6"/>
    <w:rPr>
      <w:i/>
      <w:iCs/>
      <w:color w:val="0F4761" w:themeColor="accent1" w:themeShade="BF"/>
    </w:rPr>
  </w:style>
  <w:style w:type="character" w:styleId="IntenseReference">
    <w:name w:val="Intense Reference"/>
    <w:basedOn w:val="DefaultParagraphFont"/>
    <w:uiPriority w:val="32"/>
    <w:qFormat/>
    <w:rsid w:val="00A613D6"/>
    <w:rPr>
      <w:b/>
      <w:bCs/>
      <w:smallCaps/>
      <w:color w:val="0F4761" w:themeColor="accent1" w:themeShade="BF"/>
      <w:spacing w:val="5"/>
    </w:rPr>
  </w:style>
  <w:style w:type="paragraph" w:styleId="Revision">
    <w:name w:val="Revision"/>
    <w:hidden/>
    <w:uiPriority w:val="99"/>
    <w:semiHidden/>
    <w:rsid w:val="001C5854"/>
    <w:pPr>
      <w:spacing w:after="0" w:line="240" w:lineRule="auto"/>
    </w:pPr>
  </w:style>
  <w:style w:type="character" w:styleId="CommentReference">
    <w:name w:val="annotation reference"/>
    <w:basedOn w:val="DefaultParagraphFont"/>
    <w:uiPriority w:val="99"/>
    <w:semiHidden/>
    <w:unhideWhenUsed/>
    <w:rsid w:val="001C5854"/>
    <w:rPr>
      <w:sz w:val="16"/>
      <w:szCs w:val="16"/>
    </w:rPr>
  </w:style>
  <w:style w:type="paragraph" w:styleId="CommentText">
    <w:name w:val="annotation text"/>
    <w:basedOn w:val="Normal"/>
    <w:link w:val="CommentTextChar"/>
    <w:uiPriority w:val="99"/>
    <w:unhideWhenUsed/>
    <w:rsid w:val="001C5854"/>
    <w:pPr>
      <w:spacing w:line="240" w:lineRule="auto"/>
    </w:pPr>
    <w:rPr>
      <w:sz w:val="20"/>
      <w:szCs w:val="20"/>
    </w:rPr>
  </w:style>
  <w:style w:type="character" w:customStyle="1" w:styleId="CommentTextChar">
    <w:name w:val="Comment Text Char"/>
    <w:basedOn w:val="DefaultParagraphFont"/>
    <w:link w:val="CommentText"/>
    <w:uiPriority w:val="99"/>
    <w:rsid w:val="001C5854"/>
    <w:rPr>
      <w:sz w:val="20"/>
      <w:szCs w:val="20"/>
    </w:rPr>
  </w:style>
  <w:style w:type="paragraph" w:styleId="CommentSubject">
    <w:name w:val="annotation subject"/>
    <w:basedOn w:val="CommentText"/>
    <w:next w:val="CommentText"/>
    <w:link w:val="CommentSubjectChar"/>
    <w:uiPriority w:val="99"/>
    <w:semiHidden/>
    <w:unhideWhenUsed/>
    <w:rsid w:val="001C5854"/>
    <w:rPr>
      <w:b/>
      <w:bCs/>
    </w:rPr>
  </w:style>
  <w:style w:type="character" w:customStyle="1" w:styleId="CommentSubjectChar">
    <w:name w:val="Comment Subject Char"/>
    <w:basedOn w:val="CommentTextChar"/>
    <w:link w:val="CommentSubject"/>
    <w:uiPriority w:val="99"/>
    <w:semiHidden/>
    <w:rsid w:val="001C5854"/>
    <w:rPr>
      <w:b/>
      <w:bCs/>
      <w:sz w:val="20"/>
      <w:szCs w:val="20"/>
    </w:rPr>
  </w:style>
  <w:style w:type="paragraph" w:styleId="Header">
    <w:name w:val="header"/>
    <w:basedOn w:val="Normal"/>
    <w:link w:val="HeaderChar"/>
    <w:uiPriority w:val="99"/>
    <w:unhideWhenUsed/>
    <w:rsid w:val="00F42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87D"/>
  </w:style>
  <w:style w:type="paragraph" w:styleId="Footer">
    <w:name w:val="footer"/>
    <w:basedOn w:val="Normal"/>
    <w:link w:val="FooterChar"/>
    <w:uiPriority w:val="99"/>
    <w:unhideWhenUsed/>
    <w:rsid w:val="00F42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87D"/>
  </w:style>
  <w:style w:type="character" w:styleId="Hyperlink">
    <w:name w:val="Hyperlink"/>
    <w:basedOn w:val="DefaultParagraphFont"/>
    <w:uiPriority w:val="99"/>
    <w:unhideWhenUsed/>
    <w:rsid w:val="004918AF"/>
    <w:rPr>
      <w:color w:val="467886" w:themeColor="hyperlink"/>
      <w:u w:val="single"/>
    </w:rPr>
  </w:style>
  <w:style w:type="character" w:styleId="UnresolvedMention">
    <w:name w:val="Unresolved Mention"/>
    <w:basedOn w:val="DefaultParagraphFont"/>
    <w:uiPriority w:val="99"/>
    <w:semiHidden/>
    <w:unhideWhenUsed/>
    <w:rsid w:val="00491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nderwood@emamerica.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 Underwood</cp:lastModifiedBy>
  <cp:revision>4</cp:revision>
  <dcterms:created xsi:type="dcterms:W3CDTF">2025-05-05T20:43:00Z</dcterms:created>
  <dcterms:modified xsi:type="dcterms:W3CDTF">2025-05-05T20:45:00Z</dcterms:modified>
</cp:coreProperties>
</file>